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Решение задач по теме: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Признаки равенства прямоугольных треугольников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4"/>
          <w:shd w:fill="auto" w:val="clear"/>
        </w:rPr>
      </w:pPr>
      <w:r>
        <w:object w:dxaOrig="9728" w:dyaOrig="1617">
          <v:rect xmlns:o="urn:schemas-microsoft-com:office:office" xmlns:v="urn:schemas-microsoft-com:vml" id="rectole0000000000" style="width:486.400000pt;height:80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4"/>
          <w:shd w:fill="auto" w:val="clear"/>
        </w:rPr>
        <w:t xml:space="preserve">Внимание!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1F497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1F497D"/>
          <w:spacing w:val="0"/>
          <w:position w:val="0"/>
          <w:sz w:val="24"/>
          <w:shd w:fill="auto" w:val="clear"/>
        </w:rPr>
        <w:t xml:space="preserve">Вы можете выполнять не все задачи. Первую задачу переписывать не нужно, любых задач из списка н</w:t>
      </w:r>
      <w:r>
        <w:rPr>
          <w:rFonts w:ascii="Times New Roman" w:hAnsi="Times New Roman" w:cs="Times New Roman" w:eastAsia="Times New Roman"/>
          <w:b/>
          <w:i/>
          <w:color w:val="1F497D"/>
          <w:spacing w:val="0"/>
          <w:position w:val="0"/>
          <w:sz w:val="24"/>
          <w:shd w:fill="auto" w:val="clear"/>
        </w:rPr>
        <w:t xml:space="preserve">решение уже привела. Привожу критерии оценивания: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  <w:t xml:space="preserve">Внимание!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110" w:dyaOrig="12660">
          <v:rect xmlns:o="urn:schemas-microsoft-com:office:office" xmlns:v="urn:schemas-microsoft-com:vml" id="rectole0000000001" style="width:505.500000pt;height:633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