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СОВРЕМЕННОЕ ПРОИЗВОДСТВО И ПРОФЕССИОНАЛЬНОЕ ОБРАЗОВАНИЕ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Заполните таблицу</w:t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2410"/>
        <w:gridCol w:w="2409"/>
        <w:gridCol w:w="2659"/>
        <w:tblGridChange w:id="0">
          <w:tblGrid>
            <w:gridCol w:w="2093"/>
            <w:gridCol w:w="2410"/>
            <w:gridCol w:w="2409"/>
            <w:gridCol w:w="2659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  <w:rtl w:val="0"/>
              </w:rPr>
              <w:t xml:space="preserve">ПРОФЕССИЯ 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  <w:rtl w:val="0"/>
              </w:rPr>
              <w:t xml:space="preserve">СПЕЦИАЛЬНОСТИ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  <w:rtl w:val="0"/>
              </w:rPr>
              <w:t xml:space="preserve">ОТРАСЛЬ 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  <w:rtl w:val="0"/>
              </w:rPr>
              <w:t xml:space="preserve">СФЕРА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Врач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Учитель 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Инженер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Ветеринар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Строитель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Агроном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Программист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Аналитик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Маркетолог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Медсестра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Оператор 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Эколог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Ювелир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