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97" w:rsidRPr="00F35201" w:rsidRDefault="005C2897" w:rsidP="005C2897">
      <w:pPr>
        <w:pStyle w:val="1"/>
        <w:tabs>
          <w:tab w:val="left" w:pos="360"/>
        </w:tabs>
        <w:ind w:left="0" w:firstLine="0"/>
        <w:jc w:val="center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Вправа «Так чи ні»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  <w:lang w:val="ru-RU"/>
        </w:rPr>
      </w:pPr>
      <w:r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1.Для птахів характерне зовнішнє запліднення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  <w:lang w:val="ru-RU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  <w:lang w:val="ru-RU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2.Гідра розмножується статево і нестатево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  <w:lang w:val="ru-RU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3. Сперматозоїди і яйцеклітини мають однаковий розмір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  <w:lang w:val="ru-RU"/>
        </w:rPr>
        <w:t>-Н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і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4.Зовнішнє запліднення відбувається в навколишньому середовищі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5.Одноклітинні тварини розмножуються поділом навпіл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6.Амфібіям притаманне зовнішнє запліднення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b/>
          <w:bCs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7.Яйцеклітина оточена кількома оболонками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8.Внутрішнє запліднення відбувається в статевих шляхах самця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9.Сперматозоїд має джгутик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10.Китоподібним властиве внутрішнє запліднення</w:t>
      </w:r>
      <w:r w:rsidR="00F35201"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1"/>
        <w:tabs>
          <w:tab w:val="left" w:pos="360"/>
        </w:tabs>
        <w:ind w:left="0"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iCs/>
          <w:color w:val="000000" w:themeColor="text1"/>
          <w:sz w:val="28"/>
          <w:szCs w:val="28"/>
        </w:rPr>
        <w:t>11.Розміри яйцеклітини залежать від кількості запасних поживних речовин у її цитоплазмі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-Так</w:t>
      </w:r>
    </w:p>
    <w:p w:rsidR="005C2897" w:rsidRPr="00F35201" w:rsidRDefault="005C2897" w:rsidP="005C2897">
      <w:pPr>
        <w:pStyle w:val="a3"/>
        <w:tabs>
          <w:tab w:val="left" w:pos="360"/>
        </w:tabs>
        <w:ind w:firstLine="0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12.Сперматозоїд — нерухома гамета</w:t>
      </w:r>
      <w:r w:rsidR="00F35201" w:rsidRPr="00F35201">
        <w:rPr>
          <w:rFonts w:asciiTheme="minorHAnsi" w:hAnsiTheme="minorHAnsi" w:cs="Times New Roman"/>
          <w:color w:val="000000" w:themeColor="text1"/>
          <w:sz w:val="28"/>
          <w:szCs w:val="28"/>
        </w:rPr>
        <w:t>-Ні</w:t>
      </w:r>
    </w:p>
    <w:p w:rsidR="005C2897" w:rsidRPr="00F35201" w:rsidRDefault="005C2897" w:rsidP="005C2897">
      <w:pPr>
        <w:pStyle w:val="a3"/>
        <w:tabs>
          <w:tab w:val="left" w:pos="360"/>
        </w:tabs>
        <w:ind w:firstLine="0"/>
        <w:jc w:val="center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</w:p>
    <w:p w:rsidR="005C2897" w:rsidRPr="00F35201" w:rsidRDefault="005C2897" w:rsidP="005C2897">
      <w:pPr>
        <w:pStyle w:val="a3"/>
        <w:tabs>
          <w:tab w:val="left" w:pos="360"/>
        </w:tabs>
        <w:ind w:firstLine="0"/>
        <w:jc w:val="center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  <w:r w:rsidRPr="00F35201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Вправа «Незакінчене речення»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1.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>Злиття статевих клітин — це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розмноження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2.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>Організми, які мають чоловічу і жіночу статеві системи, називаються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роздільностатевими 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3.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 xml:space="preserve">Статеві клітини — це 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гамети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4.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 xml:space="preserve">Чоловіча гамета — 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статеві клітина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5.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 xml:space="preserve">Жіноча гамета — 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статева клітина 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6.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 xml:space="preserve">Брунькування — це процес, що належать до 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безстатєвого 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розмноження.</w:t>
      </w:r>
    </w:p>
    <w:p w:rsidR="00B30574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7.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 xml:space="preserve">Запліднена яйцеклітина — </w:t>
      </w:r>
      <w:r w:rsidR="00F35201" w:rsidRPr="00F35201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тотипотентна клітина, яка дає зачаток усім клітинам організму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  <w:r w:rsidR="00F35201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8.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ab/>
        <w:t>У більшості ссавців розвиток зародка відбувається в особливому органі —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матці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9. 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</w:rPr>
        <w:t>В індивідуальному розвитку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 xml:space="preserve"> тварин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</w:rPr>
        <w:t xml:space="preserve"> виділяють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 xml:space="preserve"> </w:t>
      </w:r>
      <w:r w:rsidR="00B30574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 xml:space="preserve">етапи 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</w:rPr>
        <w:t xml:space="preserve"> і </w:t>
      </w:r>
      <w:r w:rsidR="00B30574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>3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>п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</w:rPr>
        <w:t>еріоди</w:t>
      </w:r>
      <w:r w:rsidRPr="00F35201">
        <w:rPr>
          <w:rStyle w:val="TimesNewRoman12"/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10. Партеногенез – явище розвитку нового організму з 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незанезаплідненої </w:t>
      </w: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яйцеклітини.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11.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Запліднення у тварин може бути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зовнішнє 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і 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>внутрішнє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.</w:t>
      </w:r>
    </w:p>
    <w:p w:rsidR="005C2897" w:rsidRPr="00F35201" w:rsidRDefault="005C2897" w:rsidP="005C2897">
      <w:pPr>
        <w:pStyle w:val="a4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 w:line="276" w:lineRule="auto"/>
        <w:ind w:firstLine="454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>12.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Непрямий розвиток тварин може бути з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повним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та </w:t>
      </w:r>
      <w:r w:rsidR="00B30574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неповним </w:t>
      </w:r>
      <w:r w:rsidR="00984B55" w:rsidRPr="00F35201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перетворенням.</w:t>
      </w:r>
      <w:bookmarkStart w:id="0" w:name="_GoBack"/>
      <w:bookmarkEnd w:id="0"/>
    </w:p>
    <w:p w:rsidR="005C2897" w:rsidRPr="005C2897" w:rsidRDefault="005C2897" w:rsidP="005C2897">
      <w:pPr>
        <w:pStyle w:val="a3"/>
        <w:tabs>
          <w:tab w:val="left" w:pos="360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297B" w:rsidRDefault="006F297B"/>
    <w:sectPr w:rsidR="006F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4E"/>
    <w:rsid w:val="005C2897"/>
    <w:rsid w:val="006F297B"/>
    <w:rsid w:val="00984B55"/>
    <w:rsid w:val="00B30574"/>
    <w:rsid w:val="00D6274E"/>
    <w:rsid w:val="00F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392"/>
  <w15:docId w15:val="{37E697EB-8BF1-40D3-8656-0BF473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 1"/>
    <w:basedOn w:val="a"/>
    <w:rsid w:val="005C2897"/>
    <w:pPr>
      <w:autoSpaceDE w:val="0"/>
      <w:autoSpaceDN w:val="0"/>
      <w:adjustRightInd w:val="0"/>
      <w:spacing w:after="0"/>
      <w:ind w:left="680" w:hanging="340"/>
      <w:jc w:val="both"/>
    </w:pPr>
    <w:rPr>
      <w:rFonts w:ascii="Minion Pro" w:eastAsia="Times New Roman" w:hAnsi="Minion Pro" w:cs="Minion Pro"/>
      <w:color w:val="000000"/>
      <w:lang w:val="uk-UA" w:eastAsia="ru-RU"/>
    </w:rPr>
  </w:style>
  <w:style w:type="paragraph" w:customStyle="1" w:styleId="a3">
    <w:name w:val="ОСНОВНОЙ"/>
    <w:basedOn w:val="a"/>
    <w:rsid w:val="005C2897"/>
    <w:pPr>
      <w:autoSpaceDE w:val="0"/>
      <w:autoSpaceDN w:val="0"/>
      <w:adjustRightInd w:val="0"/>
      <w:spacing w:after="0"/>
      <w:ind w:firstLine="340"/>
      <w:jc w:val="both"/>
    </w:pPr>
    <w:rPr>
      <w:rFonts w:ascii="Minion Pro" w:eastAsia="Times New Roman" w:hAnsi="Minion Pro" w:cs="Minion Pro"/>
      <w:color w:val="000000"/>
      <w:lang w:val="uk-UA" w:eastAsia="ru-RU"/>
    </w:rPr>
  </w:style>
  <w:style w:type="paragraph" w:styleId="a4">
    <w:name w:val="Normal (Web)"/>
    <w:basedOn w:val="a"/>
    <w:semiHidden/>
    <w:unhideWhenUsed/>
    <w:rsid w:val="005C2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mesNewRoman12">
    <w:name w:val="Стиль Times New Roman 12 пт"/>
    <w:rsid w:val="005C289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Черипко</cp:lastModifiedBy>
  <cp:revision>3</cp:revision>
  <dcterms:created xsi:type="dcterms:W3CDTF">2022-04-12T10:05:00Z</dcterms:created>
  <dcterms:modified xsi:type="dcterms:W3CDTF">2022-04-12T15:43:00Z</dcterms:modified>
</cp:coreProperties>
</file>