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60" w:rsidRDefault="00A87C60" w:rsidP="00A87C60">
      <w:pPr>
        <w:pStyle w:val="a3"/>
        <w:shd w:val="clear" w:color="auto" w:fill="F4F5DE"/>
        <w:spacing w:before="360" w:beforeAutospacing="0" w:after="360" w:afterAutospacing="0" w:line="36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Проведем перпендикуляр А</w:t>
      </w:r>
      <w:r>
        <w:rPr>
          <w:rFonts w:ascii="Arial" w:hAnsi="Arial" w:cs="Arial"/>
          <w:color w:val="666666"/>
          <w:sz w:val="20"/>
          <w:szCs w:val="20"/>
          <w:vertAlign w:val="subscript"/>
        </w:rPr>
        <w:t>1</w:t>
      </w:r>
      <w:proofErr w:type="gramStart"/>
      <w:r>
        <w:rPr>
          <w:rStyle w:val="apple-converted-space"/>
          <w:rFonts w:ascii="Arial" w:hAnsi="Arial" w:cs="Arial"/>
          <w:color w:val="666666"/>
          <w:sz w:val="20"/>
          <w:szCs w:val="20"/>
        </w:rPr>
        <w:t> </w:t>
      </w:r>
      <w:r>
        <w:rPr>
          <w:rFonts w:ascii="Arial" w:hAnsi="Arial" w:cs="Arial"/>
          <w:color w:val="666666"/>
          <w:sz w:val="20"/>
          <w:szCs w:val="20"/>
        </w:rPr>
        <w:t>О</w:t>
      </w:r>
      <w:proofErr w:type="gramEnd"/>
      <w:r>
        <w:rPr>
          <w:rFonts w:ascii="Arial" w:hAnsi="Arial" w:cs="Arial"/>
          <w:color w:val="666666"/>
          <w:sz w:val="20"/>
          <w:szCs w:val="20"/>
        </w:rPr>
        <w:t xml:space="preserve"> к плоскости основания, а также A</w:t>
      </w:r>
      <w:r>
        <w:rPr>
          <w:rFonts w:ascii="Arial" w:hAnsi="Arial" w:cs="Arial"/>
          <w:color w:val="666666"/>
          <w:sz w:val="20"/>
          <w:szCs w:val="20"/>
          <w:vertAlign w:val="subscript"/>
        </w:rPr>
        <w:t>1</w:t>
      </w:r>
      <w:r>
        <w:rPr>
          <w:rFonts w:ascii="Arial" w:hAnsi="Arial" w:cs="Arial"/>
          <w:color w:val="666666"/>
          <w:sz w:val="20"/>
          <w:szCs w:val="20"/>
        </w:rPr>
        <w:t>MΔAD и А</w:t>
      </w:r>
      <w:r>
        <w:rPr>
          <w:rFonts w:ascii="Arial" w:hAnsi="Arial" w:cs="Arial"/>
          <w:color w:val="666666"/>
          <w:sz w:val="20"/>
          <w:szCs w:val="20"/>
          <w:vertAlign w:val="subscript"/>
        </w:rPr>
        <w:t>1</w:t>
      </w:r>
      <w:r>
        <w:rPr>
          <w:rFonts w:ascii="Arial" w:hAnsi="Arial" w:cs="Arial"/>
          <w:color w:val="666666"/>
          <w:sz w:val="20"/>
          <w:szCs w:val="20"/>
        </w:rPr>
        <w:t>KΔАВ. По теореме о трех перпендикулярах ОМ</w:t>
      </w:r>
      <w:r>
        <w:rPr>
          <w:rFonts w:ascii="Cambria Math" w:hAnsi="Cambria Math" w:cs="Cambria Math"/>
          <w:color w:val="666666"/>
          <w:sz w:val="20"/>
          <w:szCs w:val="20"/>
        </w:rPr>
        <w:t>⊥</w:t>
      </w:r>
      <w:r>
        <w:rPr>
          <w:rFonts w:ascii="Arial" w:hAnsi="Arial" w:cs="Arial"/>
          <w:color w:val="666666"/>
          <w:sz w:val="20"/>
          <w:szCs w:val="20"/>
        </w:rPr>
        <w:t xml:space="preserve">AD и 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ОК</w:t>
      </w:r>
      <w:proofErr w:type="gramEnd"/>
      <w:r>
        <w:rPr>
          <w:rFonts w:ascii="Arial" w:hAnsi="Arial" w:cs="Arial"/>
          <w:color w:val="666666"/>
          <w:sz w:val="20"/>
          <w:szCs w:val="20"/>
        </w:rPr>
        <w:t>±АВ. ΔАА</w:t>
      </w:r>
      <w:r>
        <w:rPr>
          <w:rFonts w:ascii="Arial" w:hAnsi="Arial" w:cs="Arial"/>
          <w:color w:val="666666"/>
          <w:sz w:val="20"/>
          <w:szCs w:val="20"/>
          <w:vertAlign w:val="subscript"/>
        </w:rPr>
        <w:t>1</w:t>
      </w:r>
      <w:r>
        <w:rPr>
          <w:rFonts w:ascii="Arial" w:hAnsi="Arial" w:cs="Arial"/>
          <w:color w:val="666666"/>
          <w:sz w:val="20"/>
          <w:szCs w:val="20"/>
        </w:rPr>
        <w:t>М=ΔАА</w:t>
      </w:r>
      <w:r>
        <w:rPr>
          <w:rFonts w:ascii="Arial" w:hAnsi="Arial" w:cs="Arial"/>
          <w:color w:val="666666"/>
          <w:sz w:val="20"/>
          <w:szCs w:val="20"/>
          <w:vertAlign w:val="subscript"/>
        </w:rPr>
        <w:t>1</w:t>
      </w:r>
      <w:r>
        <w:rPr>
          <w:rFonts w:ascii="Arial" w:hAnsi="Arial" w:cs="Arial"/>
          <w:color w:val="666666"/>
          <w:sz w:val="20"/>
          <w:szCs w:val="20"/>
        </w:rPr>
        <w:t>К (по гипотенузе AA</w:t>
      </w:r>
      <w:r>
        <w:rPr>
          <w:rFonts w:ascii="Arial" w:hAnsi="Arial" w:cs="Arial"/>
          <w:color w:val="666666"/>
          <w:sz w:val="20"/>
          <w:szCs w:val="20"/>
          <w:vertAlign w:val="subscript"/>
        </w:rPr>
        <w:t>1</w:t>
      </w:r>
      <w:r>
        <w:rPr>
          <w:rStyle w:val="apple-converted-space"/>
          <w:rFonts w:ascii="Arial" w:hAnsi="Arial" w:cs="Arial"/>
          <w:color w:val="666666"/>
          <w:sz w:val="20"/>
          <w:szCs w:val="20"/>
        </w:rPr>
        <w:t> </w:t>
      </w:r>
      <w:r>
        <w:rPr>
          <w:rFonts w:ascii="Arial" w:hAnsi="Arial" w:cs="Arial"/>
          <w:color w:val="666666"/>
          <w:sz w:val="20"/>
          <w:szCs w:val="20"/>
        </w:rPr>
        <w:t>и острому углу</w:t>
      </w:r>
      <w:r>
        <w:rPr>
          <w:rFonts w:ascii="Cambria Math" w:hAnsi="Cambria Math" w:cs="Cambria Math"/>
          <w:color w:val="666666"/>
          <w:sz w:val="20"/>
          <w:szCs w:val="20"/>
        </w:rPr>
        <w:t>∠</w:t>
      </w:r>
      <w:r>
        <w:rPr>
          <w:rFonts w:ascii="Arial" w:hAnsi="Arial" w:cs="Arial"/>
          <w:color w:val="666666"/>
          <w:sz w:val="20"/>
          <w:szCs w:val="20"/>
        </w:rPr>
        <w:t>A</w:t>
      </w:r>
      <w:r>
        <w:rPr>
          <w:rFonts w:ascii="Arial" w:hAnsi="Arial" w:cs="Arial"/>
          <w:color w:val="666666"/>
          <w:sz w:val="20"/>
          <w:szCs w:val="20"/>
          <w:vertAlign w:val="subscript"/>
        </w:rPr>
        <w:t>1</w:t>
      </w:r>
      <w:r>
        <w:rPr>
          <w:rFonts w:ascii="Arial" w:hAnsi="Arial" w:cs="Arial"/>
          <w:color w:val="666666"/>
          <w:sz w:val="20"/>
          <w:szCs w:val="20"/>
        </w:rPr>
        <w:t>AM=</w:t>
      </w:r>
      <w:r>
        <w:rPr>
          <w:rFonts w:ascii="Cambria Math" w:hAnsi="Cambria Math" w:cs="Cambria Math"/>
          <w:color w:val="666666"/>
          <w:sz w:val="20"/>
          <w:szCs w:val="20"/>
        </w:rPr>
        <w:t>∠</w:t>
      </w:r>
      <w:r>
        <w:rPr>
          <w:rFonts w:ascii="Arial" w:hAnsi="Arial" w:cs="Arial"/>
          <w:color w:val="666666"/>
          <w:sz w:val="20"/>
          <w:szCs w:val="20"/>
        </w:rPr>
        <w:t>A</w:t>
      </w:r>
      <w:r>
        <w:rPr>
          <w:rFonts w:ascii="Arial" w:hAnsi="Arial" w:cs="Arial"/>
          <w:color w:val="666666"/>
          <w:sz w:val="20"/>
          <w:szCs w:val="20"/>
          <w:vertAlign w:val="subscript"/>
        </w:rPr>
        <w:t>1</w:t>
      </w:r>
      <w:r>
        <w:rPr>
          <w:rFonts w:ascii="Arial" w:hAnsi="Arial" w:cs="Arial"/>
          <w:color w:val="666666"/>
          <w:sz w:val="20"/>
          <w:szCs w:val="20"/>
        </w:rPr>
        <w:t xml:space="preserve">AK=60°). </w:t>
      </w:r>
      <w:bookmarkStart w:id="0" w:name="_GoBack"/>
      <w:bookmarkEnd w:id="0"/>
      <w:r>
        <w:rPr>
          <w:rFonts w:ascii="Arial" w:hAnsi="Arial" w:cs="Arial"/>
          <w:color w:val="666666"/>
          <w:sz w:val="20"/>
          <w:szCs w:val="20"/>
        </w:rPr>
        <w:t>Тогда</w:t>
      </w:r>
    </w:p>
    <w:p w:rsidR="00A87C60" w:rsidRDefault="00A87C60" w:rsidP="00A87C60">
      <w:pPr>
        <w:pStyle w:val="a3"/>
        <w:shd w:val="clear" w:color="auto" w:fill="F4F5DE"/>
        <w:spacing w:before="360" w:beforeAutospacing="0" w:after="360" w:afterAutospacing="0" w:line="36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noProof/>
          <w:color w:val="8697A0"/>
          <w:sz w:val="20"/>
          <w:szCs w:val="20"/>
        </w:rPr>
        <w:drawing>
          <wp:inline distT="0" distB="0" distL="0" distR="0" wp14:anchorId="5D380ED1" wp14:editId="4A9D4297">
            <wp:extent cx="2646293" cy="571500"/>
            <wp:effectExtent l="0" t="0" r="1905" b="0"/>
            <wp:docPr id="6" name="Рисунок 6" descr="http://5terka.com/images/geom11pog2/geom11pog2-582.jpg">
              <a:hlinkClick xmlns:a="http://schemas.openxmlformats.org/drawingml/2006/main" r:id="rId7" tooltip="&quot;Кли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terka.com/images/geom11pog2/geom11pog2-582.jpg">
                      <a:hlinkClick r:id="rId7" tooltip="&quot;Кли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293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C60" w:rsidRDefault="00A87C60" w:rsidP="00A87C60">
      <w:pPr>
        <w:pStyle w:val="a3"/>
        <w:shd w:val="clear" w:color="auto" w:fill="F4F5DE"/>
        <w:spacing w:before="360" w:beforeAutospacing="0" w:after="360" w:afterAutospacing="0" w:line="36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Далее, ΔAM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О</w:t>
      </w:r>
      <w:proofErr w:type="gramEnd"/>
      <w:r>
        <w:rPr>
          <w:rFonts w:ascii="Arial" w:hAnsi="Arial" w:cs="Arial"/>
          <w:color w:val="666666"/>
          <w:sz w:val="20"/>
          <w:szCs w:val="20"/>
        </w:rPr>
        <w:t xml:space="preserve"> = ΔАКО (по гипотенузе и катету).</w:t>
      </w:r>
    </w:p>
    <w:p w:rsidR="00A87C60" w:rsidRDefault="00A87C60" w:rsidP="00A87C60">
      <w:pPr>
        <w:pStyle w:val="a3"/>
        <w:shd w:val="clear" w:color="auto" w:fill="F4F5DE"/>
        <w:spacing w:before="360" w:beforeAutospacing="0" w:after="360" w:afterAutospacing="0" w:line="36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Так что</w:t>
      </w:r>
      <w:r>
        <w:rPr>
          <w:rFonts w:ascii="Arial" w:hAnsi="Arial" w:cs="Arial"/>
          <w:noProof/>
          <w:color w:val="8697A0"/>
          <w:sz w:val="20"/>
          <w:szCs w:val="20"/>
        </w:rPr>
        <w:drawing>
          <wp:inline distT="0" distB="0" distL="0" distR="0" wp14:anchorId="7A7B1651" wp14:editId="5F1409B9">
            <wp:extent cx="2362200" cy="471200"/>
            <wp:effectExtent l="0" t="0" r="0" b="5080"/>
            <wp:docPr id="5" name="Рисунок 5" descr="http://5terka.com/images/geom11pog2/geom11pog2-583.jpg">
              <a:hlinkClick xmlns:a="http://schemas.openxmlformats.org/drawingml/2006/main" r:id="rId9" tooltip="&quot;Кли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5terka.com/images/geom11pog2/geom11pog2-583.jpg">
                      <a:hlinkClick r:id="rId9" tooltip="&quot;Кли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C60" w:rsidRDefault="00A87C60" w:rsidP="00A87C60">
      <w:pPr>
        <w:pStyle w:val="a3"/>
        <w:shd w:val="clear" w:color="auto" w:fill="F4F5DE"/>
        <w:spacing w:before="360" w:beforeAutospacing="0" w:after="360" w:afterAutospacing="0" w:line="36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noProof/>
          <w:color w:val="8697A0"/>
          <w:sz w:val="20"/>
          <w:szCs w:val="20"/>
        </w:rPr>
        <w:drawing>
          <wp:inline distT="0" distB="0" distL="0" distR="0" wp14:anchorId="5B65E8C2" wp14:editId="6F9F41A6">
            <wp:extent cx="5724525" cy="674375"/>
            <wp:effectExtent l="0" t="0" r="0" b="0"/>
            <wp:docPr id="4" name="Рисунок 4" descr="http://5terka.com/images/geom11pog2/geom11pog2-584.jpg">
              <a:hlinkClick xmlns:a="http://schemas.openxmlformats.org/drawingml/2006/main" r:id="rId11" tooltip="&quot;Кли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5terka.com/images/geom11pog2/geom11pog2-584.jpg">
                      <a:hlinkClick r:id="rId11" tooltip="&quot;Кли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7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C60" w:rsidRDefault="00A87C60" w:rsidP="00A87C60">
      <w:pPr>
        <w:pStyle w:val="a3"/>
        <w:shd w:val="clear" w:color="auto" w:fill="F4F5DE"/>
        <w:spacing w:before="360" w:beforeAutospacing="0" w:after="360" w:afterAutospacing="0" w:line="36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 xml:space="preserve">В 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прямоугольном</w:t>
      </w:r>
      <w:proofErr w:type="gramEnd"/>
      <w:r>
        <w:rPr>
          <w:rFonts w:ascii="Arial" w:hAnsi="Arial" w:cs="Arial"/>
          <w:color w:val="666666"/>
          <w:sz w:val="20"/>
          <w:szCs w:val="20"/>
        </w:rPr>
        <w:t xml:space="preserve"> ΔAA</w:t>
      </w:r>
      <w:r>
        <w:rPr>
          <w:rFonts w:ascii="Arial" w:hAnsi="Arial" w:cs="Arial"/>
          <w:color w:val="666666"/>
          <w:sz w:val="20"/>
          <w:szCs w:val="20"/>
          <w:vertAlign w:val="subscript"/>
        </w:rPr>
        <w:t>1</w:t>
      </w:r>
      <w:r>
        <w:rPr>
          <w:rFonts w:ascii="Arial" w:hAnsi="Arial" w:cs="Arial"/>
          <w:color w:val="666666"/>
          <w:sz w:val="20"/>
          <w:szCs w:val="20"/>
        </w:rPr>
        <w:t>О по теореме Пифагора:</w:t>
      </w:r>
    </w:p>
    <w:p w:rsidR="00A87C60" w:rsidRDefault="00A87C60" w:rsidP="00A87C60">
      <w:pPr>
        <w:pStyle w:val="a3"/>
        <w:shd w:val="clear" w:color="auto" w:fill="F4F5DE"/>
        <w:spacing w:before="360" w:beforeAutospacing="0" w:after="360" w:afterAutospacing="0" w:line="36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noProof/>
          <w:color w:val="8697A0"/>
          <w:sz w:val="20"/>
          <w:szCs w:val="20"/>
        </w:rPr>
        <w:drawing>
          <wp:inline distT="0" distB="0" distL="0" distR="0">
            <wp:extent cx="4371975" cy="720785"/>
            <wp:effectExtent l="0" t="0" r="0" b="3175"/>
            <wp:docPr id="3" name="Рисунок 3" descr="http://5terka.com/images/geom11pog2/geom11pog2-585.jpg">
              <a:hlinkClick xmlns:a="http://schemas.openxmlformats.org/drawingml/2006/main" r:id="rId13" tooltip="&quot;Кли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5terka.com/images/geom11pog2/geom11pog2-585.jpg">
                      <a:hlinkClick r:id="rId13" tooltip="&quot;Кли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779" cy="72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C60" w:rsidRDefault="00A87C60" w:rsidP="00A87C60">
      <w:pPr>
        <w:pStyle w:val="a3"/>
        <w:shd w:val="clear" w:color="auto" w:fill="F4F5DE"/>
        <w:spacing w:before="360" w:beforeAutospacing="0" w:after="360" w:afterAutospacing="0" w:line="36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Основание параллелепипеда — ромб с площадью</w:t>
      </w:r>
    </w:p>
    <w:p w:rsidR="00A87C60" w:rsidRDefault="00A87C60" w:rsidP="00A87C60">
      <w:pPr>
        <w:pStyle w:val="a3"/>
        <w:shd w:val="clear" w:color="auto" w:fill="F4F5DE"/>
        <w:spacing w:before="360" w:beforeAutospacing="0" w:after="360" w:afterAutospacing="0" w:line="36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noProof/>
          <w:color w:val="8697A0"/>
          <w:sz w:val="20"/>
          <w:szCs w:val="20"/>
        </w:rPr>
        <w:drawing>
          <wp:inline distT="0" distB="0" distL="0" distR="0">
            <wp:extent cx="4067175" cy="648311"/>
            <wp:effectExtent l="0" t="0" r="0" b="0"/>
            <wp:docPr id="2" name="Рисунок 2" descr="http://5terka.com/images/geom11pog2/geom11pog2-586.jpg">
              <a:hlinkClick xmlns:a="http://schemas.openxmlformats.org/drawingml/2006/main" r:id="rId15" tooltip="&quot;Кли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5terka.com/images/geom11pog2/geom11pog2-586.jpg">
                      <a:hlinkClick r:id="rId15" tooltip="&quot;Кли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099" cy="65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C60" w:rsidRDefault="00A87C60" w:rsidP="00A87C60">
      <w:pPr>
        <w:pStyle w:val="a3"/>
        <w:shd w:val="clear" w:color="auto" w:fill="F4F5DE"/>
        <w:spacing w:before="360" w:beforeAutospacing="0" w:after="360" w:afterAutospacing="0" w:line="36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Объём тогда равен будет:</w:t>
      </w:r>
    </w:p>
    <w:p w:rsidR="00A87C60" w:rsidRPr="00A87C60" w:rsidRDefault="00A87C60" w:rsidP="00A87C60">
      <w:pPr>
        <w:pStyle w:val="a3"/>
        <w:shd w:val="clear" w:color="auto" w:fill="F4F5DE"/>
        <w:spacing w:before="360" w:beforeAutospacing="0" w:after="360" w:afterAutospacing="0" w:line="36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noProof/>
          <w:color w:val="8697A0"/>
          <w:sz w:val="20"/>
          <w:szCs w:val="20"/>
        </w:rPr>
        <w:drawing>
          <wp:inline distT="0" distB="0" distL="0" distR="0" wp14:anchorId="02B71EA0" wp14:editId="461E9F24">
            <wp:extent cx="3343275" cy="818887"/>
            <wp:effectExtent l="0" t="0" r="0" b="635"/>
            <wp:docPr id="1" name="Рисунок 1" descr="http://5terka.com/images/geom11pog2/geom11pog2-587.jpg">
              <a:hlinkClick xmlns:a="http://schemas.openxmlformats.org/drawingml/2006/main" r:id="rId17" tooltip="&quot;Кли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5terka.com/images/geom11pog2/geom11pog2-587.jpg">
                      <a:hlinkClick r:id="rId17" tooltip="&quot;Кли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63" cy="82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B73" w:rsidRPr="00A87C60" w:rsidRDefault="00022B73" w:rsidP="00A87C60">
      <w:pPr>
        <w:tabs>
          <w:tab w:val="left" w:pos="3885"/>
        </w:tabs>
      </w:pPr>
    </w:p>
    <w:sectPr w:rsidR="00022B73" w:rsidRPr="00A87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1A2" w:rsidRDefault="007F31A2" w:rsidP="00A87C60">
      <w:pPr>
        <w:spacing w:after="0" w:line="240" w:lineRule="auto"/>
      </w:pPr>
      <w:r>
        <w:separator/>
      </w:r>
    </w:p>
  </w:endnote>
  <w:endnote w:type="continuationSeparator" w:id="0">
    <w:p w:rsidR="007F31A2" w:rsidRDefault="007F31A2" w:rsidP="00A8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1A2" w:rsidRDefault="007F31A2" w:rsidP="00A87C60">
      <w:pPr>
        <w:spacing w:after="0" w:line="240" w:lineRule="auto"/>
      </w:pPr>
      <w:r>
        <w:separator/>
      </w:r>
    </w:p>
  </w:footnote>
  <w:footnote w:type="continuationSeparator" w:id="0">
    <w:p w:rsidR="007F31A2" w:rsidRDefault="007F31A2" w:rsidP="00A87C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60"/>
    <w:rsid w:val="00022B73"/>
    <w:rsid w:val="007F31A2"/>
    <w:rsid w:val="00A8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7C60"/>
  </w:style>
  <w:style w:type="paragraph" w:styleId="a4">
    <w:name w:val="Balloon Text"/>
    <w:basedOn w:val="a"/>
    <w:link w:val="a5"/>
    <w:uiPriority w:val="99"/>
    <w:semiHidden/>
    <w:unhideWhenUsed/>
    <w:rsid w:val="00A8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C6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87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7C60"/>
  </w:style>
  <w:style w:type="paragraph" w:styleId="a8">
    <w:name w:val="footer"/>
    <w:basedOn w:val="a"/>
    <w:link w:val="a9"/>
    <w:uiPriority w:val="99"/>
    <w:unhideWhenUsed/>
    <w:rsid w:val="00A87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7C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7C60"/>
  </w:style>
  <w:style w:type="paragraph" w:styleId="a4">
    <w:name w:val="Balloon Text"/>
    <w:basedOn w:val="a"/>
    <w:link w:val="a5"/>
    <w:uiPriority w:val="99"/>
    <w:semiHidden/>
    <w:unhideWhenUsed/>
    <w:rsid w:val="00A8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C6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87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7C60"/>
  </w:style>
  <w:style w:type="paragraph" w:styleId="a8">
    <w:name w:val="footer"/>
    <w:basedOn w:val="a"/>
    <w:link w:val="a9"/>
    <w:uiPriority w:val="99"/>
    <w:unhideWhenUsed/>
    <w:rsid w:val="00A87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7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5terka.com/images/geom11pog2/geom11pog2-585.jpg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5terka.com/images/geom11pog2/geom11pog2-582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5terka.com/images/geom11pog2/geom11pog2-587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5terka.com/images/geom11pog2/geom11pog2-584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5terka.com/images/geom11pog2/geom11pog2-586.jpg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5terka.com/images/geom11pog2/geom11pog2-583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Company>SPecialiST RePack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2014-03-19T09:29:00Z</dcterms:created>
  <dcterms:modified xsi:type="dcterms:W3CDTF">2014-03-19T09:32:00Z</dcterms:modified>
</cp:coreProperties>
</file>