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i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i w:val="1"/>
          <w:sz w:val="34"/>
          <w:szCs w:val="34"/>
          <w:rtl w:val="0"/>
        </w:rPr>
        <w:t xml:space="preserve">З</w:t>
      </w:r>
      <w:r w:rsidDel="00000000" w:rsidR="00000000" w:rsidRPr="00000000">
        <w:rPr>
          <w:rFonts w:ascii="Calibri" w:cs="Calibri" w:eastAsia="Calibri" w:hAnsi="Calibri"/>
          <w:i w:val="1"/>
          <w:sz w:val="34"/>
          <w:szCs w:val="34"/>
          <w:rtl w:val="0"/>
        </w:rPr>
        <w:t xml:space="preserve">іставте умови Березневих статей 1654 р. із попередніми угодами Війська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34"/>
          <w:szCs w:val="34"/>
          <w:rtl w:val="0"/>
        </w:rPr>
        <w:t xml:space="preserve">Запорозького з Річчю Посполитою. Зробіть висновки: чи були вигідними для України Березневі статті?</w:t>
      </w:r>
    </w:p>
    <w:p w:rsidR="00000000" w:rsidDel="00000000" w:rsidP="00000000" w:rsidRDefault="00000000" w:rsidRPr="00000000" w14:paraId="00000002">
      <w:pPr>
        <w:widowControl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20"/>
      </w:tblPr>
      <w:tblGrid>
        <w:gridCol w:w="460"/>
        <w:gridCol w:w="2500"/>
        <w:gridCol w:w="1020"/>
        <w:gridCol w:w="1220"/>
        <w:gridCol w:w="1840"/>
        <w:gridCol w:w="1660"/>
        <w:gridCol w:w="1760"/>
        <w:tblGridChange w:id="0">
          <w:tblGrid>
            <w:gridCol w:w="460"/>
            <w:gridCol w:w="2500"/>
            <w:gridCol w:w="1020"/>
            <w:gridCol w:w="1220"/>
            <w:gridCol w:w="1840"/>
            <w:gridCol w:w="1660"/>
            <w:gridCol w:w="176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№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Угода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Дата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Реєстр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Політичний устрій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Права і привілеї козацтва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Самост-ть у зовнішній політиці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Зборівський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 серпня 1649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 тис.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На землях Війська Запорозького влада належала гетьману, резиденція якого розміщувалась у Чигирині. Уряди всіх рівнів на території Гетьманщини мали право займати лише православні шляхтичі.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Чисельність козаків Війська Запорозького обмежувалась реєстром у 40 000 осіб. Усі ті, хто не потрапив до козацького реєстру, мали повернутися до панів.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Білоцерківський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18 вересня 1651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 тис.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Територія, підвладна Богдану Хмельницькому, обмежувалася лише Київським воєводством;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Територія, підвладна Богдану Хмельницькому, обмежувалася лише Київським воєводством; Реєстр обмежувався з 40 тис. до 20 тис.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Гетьманщина була позбавлена права вступати у відносини з іноземними державами і повинна була розірвати союз з Кримським ханством.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Березневі статті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1654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40 тис.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color w:val="202124"/>
                <w:sz w:val="32"/>
                <w:szCs w:val="32"/>
                <w:rtl w:val="0"/>
              </w:rPr>
              <w:t xml:space="preserve">Було вирішено </w:t>
            </w:r>
            <w:r w:rsidDel="00000000" w:rsidR="00000000" w:rsidRPr="00000000">
              <w:rPr>
                <w:color w:val="040c28"/>
                <w:sz w:val="32"/>
                <w:szCs w:val="32"/>
                <w:rtl w:val="0"/>
              </w:rPr>
              <w:t xml:space="preserve">віддати Гетьманщину під протекторат Московського царства зі збереженням основних прав і вільностей Війська Запорозького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bin" w:cs="Cabin" w:eastAsia="Cabin" w:hAnsi="Cabin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Зберігались всі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права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та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привілеї козаків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color w:val="040c28"/>
                <w:sz w:val="32"/>
                <w:szCs w:val="32"/>
                <w:rtl w:val="0"/>
              </w:rPr>
              <w:t xml:space="preserve">козаки присягали на вірність царю, так і монарх (або уповноважений ним представник)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Висновок:</w:t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>
      <w:rFonts w:ascii="Calibri" w:cs="Calibri" w:eastAsia="Calibri" w:hAnsi="Calibri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ceaf0" w:val="clear"/>
    </w:tcPr>
    <w:tblStylePr w:type="band1Horz">
      <w:pPr/>
      <w:rPr/>
      <w:tcPr>
        <w:shd w:fill="d7d2df" w:val="clear"/>
      </w:tcPr>
    </w:tblStylePr>
    <w:tblStylePr w:type="band1Vert">
      <w:pPr/>
      <w:rPr/>
      <w:tcPr>
        <w:shd w:fill="d7d2df" w:val="clear"/>
      </w:tcPr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>
        <w:rFonts w:ascii="Calibri" w:cs="Calibri" w:eastAsia="Calibri" w:hAnsi="Calibri"/>
        <w:b w:val="1"/>
        <w:i w:val="0"/>
        <w:color w:val="ffffff"/>
      </w:rPr>
      <w:tcPr>
        <w:shd w:fill="8064a2" w:val="clear"/>
      </w:tcPr>
    </w:tblStylePr>
    <w:tblStylePr w:type="firstRow">
      <w:pPr/>
      <w:rPr>
        <w:rFonts w:ascii="Calibri" w:cs="Calibri" w:eastAsia="Calibri" w:hAnsi="Calibri"/>
        <w:b w:val="1"/>
        <w:i w:val="0"/>
        <w:color w:val="ffffff"/>
      </w:rPr>
      <w:tcPr>
        <w:tcBorders>
          <w:bottom w:color="ffffff" w:space="0" w:sz="24" w:val="single"/>
        </w:tcBorders>
        <w:shd w:fill="8064a2" w:val="clear"/>
      </w:tcPr>
    </w:tblStylePr>
    <w:tblStylePr w:type="lastCol">
      <w:pPr/>
      <w:rPr>
        <w:rFonts w:ascii="Calibri" w:cs="Calibri" w:eastAsia="Calibri" w:hAnsi="Calibri"/>
        <w:b w:val="1"/>
        <w:i w:val="0"/>
        <w:color w:val="ffffff"/>
      </w:rPr>
      <w:tcPr>
        <w:shd w:fill="8064a2" w:val="clear"/>
      </w:tcPr>
    </w:tblStylePr>
    <w:tblStylePr w:type="lastRow">
      <w:pPr/>
      <w:rPr>
        <w:rFonts w:ascii="Calibri" w:cs="Calibri" w:eastAsia="Calibri" w:hAnsi="Calibri"/>
        <w:b w:val="1"/>
        <w:i w:val="0"/>
        <w:color w:val="ffffff"/>
      </w:rPr>
      <w:tcPr>
        <w:tcBorders>
          <w:top w:color="ffffff" w:space="0" w:sz="24" w:val="single"/>
        </w:tcBorders>
        <w:shd w:fill="8064a2" w:val="clear"/>
      </w:tcPr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