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5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7"/>
      </w:tblGrid>
      <w:tr w:rsidR="008E389B" w:rsidRPr="008E389B" w:rsidTr="008E389B">
        <w:trPr>
          <w:tblCellSpacing w:w="15" w:type="dxa"/>
          <w:jc w:val="center"/>
        </w:trPr>
        <w:tc>
          <w:tcPr>
            <w:tcW w:w="0" w:type="auto"/>
            <w:shd w:val="clear" w:color="auto" w:fill="F0FFF0"/>
            <w:vAlign w:val="center"/>
            <w:hideMark/>
          </w:tcPr>
          <w:p w:rsidR="008E389B" w:rsidRPr="008E389B" w:rsidRDefault="008E389B" w:rsidP="008E38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89B">
              <w:rPr>
                <w:rFonts w:ascii="Times New Roman" w:eastAsia="Times New Roman" w:hAnsi="Times New Roman" w:cs="Times New Roman"/>
                <w:color w:val="008000"/>
                <w:sz w:val="48"/>
                <w:szCs w:val="48"/>
                <w:lang w:eastAsia="ru-RU"/>
              </w:rPr>
              <w:t>- Река ВОРОНЕЖ -</w:t>
            </w:r>
          </w:p>
        </w:tc>
      </w:tr>
    </w:tbl>
    <w:p w:rsidR="008E389B" w:rsidRPr="008E389B" w:rsidRDefault="008E389B" w:rsidP="008E3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9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475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7"/>
      </w:tblGrid>
      <w:tr w:rsidR="008E389B" w:rsidRPr="008E389B" w:rsidTr="008E389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389B" w:rsidRPr="008E389B" w:rsidRDefault="008E389B" w:rsidP="008E38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89B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ОТ УСТЬЯ до ИСТОКА</w:t>
            </w:r>
          </w:p>
        </w:tc>
      </w:tr>
      <w:tr w:rsidR="008E389B" w:rsidRPr="008E389B" w:rsidTr="008E389B">
        <w:trPr>
          <w:tblCellSpacing w:w="15" w:type="dxa"/>
          <w:jc w:val="center"/>
        </w:trPr>
        <w:tc>
          <w:tcPr>
            <w:tcW w:w="0" w:type="auto"/>
            <w:shd w:val="clear" w:color="auto" w:fill="E8EEFF"/>
            <w:vAlign w:val="center"/>
            <w:hideMark/>
          </w:tcPr>
          <w:p w:rsidR="008E389B" w:rsidRPr="008E389B" w:rsidRDefault="008E389B" w:rsidP="008E38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E389B" w:rsidRPr="008E389B" w:rsidTr="008E389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389B" w:rsidRPr="008E389B" w:rsidRDefault="008E389B" w:rsidP="008E38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89B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Река ВОРОНЕЖ, левый приток ДОНА</w:t>
            </w:r>
            <w:r w:rsidRPr="008E389B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ru-RU"/>
              </w:rPr>
              <w:t>Протекает по территории России: Тамбовской, Липецкой, Воронежской областям</w:t>
            </w:r>
          </w:p>
          <w:p w:rsidR="008E389B" w:rsidRPr="008E389B" w:rsidRDefault="008E389B" w:rsidP="008E38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89B"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ru-RU"/>
              </w:rPr>
              <w:t>Исток: Ухоловский район Рязанской области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ru-RU"/>
              </w:rPr>
              <w:t>Устье: река Дон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Длина: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t>342 км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бассейна: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t> 21 600 км²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Высота истока: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t>152 м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 воды у г. Воронеж: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t> 70,8 м³/с</w:t>
            </w:r>
          </w:p>
        </w:tc>
      </w:tr>
      <w:tr w:rsidR="008E389B" w:rsidRPr="008E389B" w:rsidTr="008E389B">
        <w:trPr>
          <w:tblCellSpacing w:w="15" w:type="dxa"/>
          <w:jc w:val="center"/>
        </w:trPr>
        <w:tc>
          <w:tcPr>
            <w:tcW w:w="0" w:type="auto"/>
            <w:shd w:val="clear" w:color="auto" w:fill="E8EEFF"/>
            <w:vAlign w:val="center"/>
            <w:hideMark/>
          </w:tcPr>
          <w:p w:rsidR="008E389B" w:rsidRPr="008E389B" w:rsidRDefault="008E389B" w:rsidP="008E38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E389B" w:rsidRPr="008E389B" w:rsidTr="008E389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4067"/>
            </w:tblGrid>
            <w:tr w:rsidR="008E389B" w:rsidRPr="008E389B">
              <w:trPr>
                <w:tblCellSpacing w:w="15" w:type="dxa"/>
                <w:jc w:val="center"/>
              </w:trPr>
              <w:tc>
                <w:tcPr>
                  <w:tcW w:w="4245" w:type="dxa"/>
                  <w:vMerge w:val="restart"/>
                  <w:vAlign w:val="center"/>
                  <w:hideMark/>
                </w:tcPr>
                <w:p w:rsidR="008E389B" w:rsidRPr="008E389B" w:rsidRDefault="008E389B" w:rsidP="008E3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389B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lang w:eastAsia="ru-RU"/>
                    </w:rPr>
                    <w:t>Содержание</w:t>
                  </w:r>
                  <w:r w:rsidRPr="008E389B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8E389B">
                    <w:rPr>
                      <w:rFonts w:ascii="Times New Roman" w:eastAsia="Times New Roman" w:hAnsi="Times New Roman" w:cs="Times New Roman"/>
                      <w:color w:val="800000"/>
                      <w:lang w:eastAsia="ru-RU"/>
                    </w:rPr>
                    <w:t>1 Притоки и водохранилища </w:t>
                  </w:r>
                  <w:r w:rsidRPr="008E389B">
                    <w:rPr>
                      <w:rFonts w:ascii="Times New Roman" w:eastAsia="Times New Roman" w:hAnsi="Times New Roman" w:cs="Times New Roman"/>
                      <w:color w:val="800000"/>
                      <w:lang w:eastAsia="ru-RU"/>
                    </w:rPr>
                    <w:br/>
                    <w:t>2 Достопримечательности </w:t>
                  </w:r>
                  <w:r w:rsidRPr="008E389B">
                    <w:rPr>
                      <w:rFonts w:ascii="Times New Roman" w:eastAsia="Times New Roman" w:hAnsi="Times New Roman" w:cs="Times New Roman"/>
                      <w:color w:val="800000"/>
                      <w:lang w:eastAsia="ru-RU"/>
                    </w:rPr>
                    <w:br/>
                    <w:t>3 Экология </w:t>
                  </w:r>
                  <w:r w:rsidRPr="008E389B">
                    <w:rPr>
                      <w:rFonts w:ascii="Times New Roman" w:eastAsia="Times New Roman" w:hAnsi="Times New Roman" w:cs="Times New Roman"/>
                      <w:color w:val="800000"/>
                      <w:lang w:eastAsia="ru-RU"/>
                    </w:rPr>
                    <w:br/>
                    <w:t>4 Биоресурсы </w:t>
                  </w:r>
                  <w:r w:rsidRPr="008E389B">
                    <w:rPr>
                      <w:rFonts w:ascii="Times New Roman" w:eastAsia="Times New Roman" w:hAnsi="Times New Roman" w:cs="Times New Roman"/>
                      <w:color w:val="800000"/>
                      <w:lang w:eastAsia="ru-RU"/>
                    </w:rPr>
                    <w:br/>
                    <w:t>4.1 Ихтиофауна </w:t>
                  </w:r>
                  <w:r w:rsidRPr="008E389B">
                    <w:rPr>
                      <w:rFonts w:ascii="Times New Roman" w:eastAsia="Times New Roman" w:hAnsi="Times New Roman" w:cs="Times New Roman"/>
                      <w:color w:val="800000"/>
                      <w:lang w:eastAsia="ru-RU"/>
                    </w:rPr>
                    <w:br/>
                    <w:t>4.2 Охрана природной среды и биоразнообразия </w:t>
                  </w:r>
                  <w:r w:rsidRPr="008E389B">
                    <w:rPr>
                      <w:rFonts w:ascii="Times New Roman" w:eastAsia="Times New Roman" w:hAnsi="Times New Roman" w:cs="Times New Roman"/>
                      <w:color w:val="800000"/>
                      <w:lang w:eastAsia="ru-RU"/>
                    </w:rPr>
                    <w:br/>
                    <w:t>4.3 Правила рыболовства </w:t>
                  </w:r>
                  <w:r w:rsidRPr="008E389B">
                    <w:rPr>
                      <w:rFonts w:ascii="Times New Roman" w:eastAsia="Times New Roman" w:hAnsi="Times New Roman" w:cs="Times New Roman"/>
                      <w:color w:val="800000"/>
                      <w:lang w:eastAsia="ru-RU"/>
                    </w:rPr>
                    <w:br/>
                    <w:t>5 Примечания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89B" w:rsidRPr="008E389B" w:rsidRDefault="008E389B" w:rsidP="008E3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389B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381250" cy="1790700"/>
                        <wp:effectExtent l="0" t="0" r="0" b="0"/>
                        <wp:docPr id="1" name="Рисунок 1" descr="http://naperekate.narod.ru/volgadon/kartadon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naperekate.narod.ru/volgadon/kartadon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790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E389B" w:rsidRPr="008E389B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E389B" w:rsidRPr="008E389B" w:rsidRDefault="008E389B" w:rsidP="008E3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389B" w:rsidRPr="008E389B" w:rsidRDefault="008E389B" w:rsidP="008E3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389B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lang w:eastAsia="ru-RU"/>
                    </w:rPr>
                    <w:t>Река Воронеж</w:t>
                  </w:r>
                </w:p>
              </w:tc>
            </w:tr>
          </w:tbl>
          <w:p w:rsidR="008E389B" w:rsidRPr="008E389B" w:rsidRDefault="008E389B" w:rsidP="008E38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89B" w:rsidRPr="008E389B" w:rsidTr="008E389B">
        <w:trPr>
          <w:tblCellSpacing w:w="15" w:type="dxa"/>
          <w:jc w:val="center"/>
        </w:trPr>
        <w:tc>
          <w:tcPr>
            <w:tcW w:w="0" w:type="auto"/>
            <w:shd w:val="clear" w:color="auto" w:fill="E8EEFF"/>
            <w:vAlign w:val="center"/>
            <w:hideMark/>
          </w:tcPr>
          <w:p w:rsidR="008E389B" w:rsidRPr="008E389B" w:rsidRDefault="008E389B" w:rsidP="008E38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E389B" w:rsidRPr="008E389B" w:rsidTr="008E389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389B" w:rsidRPr="008E389B" w:rsidRDefault="008E389B" w:rsidP="008E38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89B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ru-RU"/>
              </w:rPr>
              <w:t>Характер долины и русла Воронежа типичен для равнинных рек.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color w:val="008000"/>
                <w:lang w:eastAsia="ru-RU"/>
              </w:rPr>
              <w:t>Образуется при слиянии Польного Воронежа и Лесного Воронежа.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Длина реки, считая от истока </w:t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Польного Воронежа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t> - 520 км, длина собственно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Воронежа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t> - 342 км.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Лесной Воронеж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t> берет начало у деревни Пушкино Ухоловского района Рязанской области.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После слияния Лесного и Польного Воронежа у села Новоникольское Мичуринского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района Тамбовской области, река течет на протяжении около 60 км на северо-запад,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затем примерно в 5 км ниже впадения в нее реки </w:t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Становая Ряса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t>(исток: Чаплыгинский район Липецкой области), круто поворачивает с севера на юг с небольшим отклонением на юго-запад.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ru-RU"/>
              </w:rPr>
              <w:t>Правый берег реки Воронеж высокий, крутой, левый - пологий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пойме реки много озер-стариц.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Наиболее крупные - Андреевское, Гать, Длинное, Долгое, Карасево, Лебяжье,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Остабное, Матыра, Яблочное и Спасское.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ru-RU"/>
              </w:rPr>
              <w:t>На реке расположены города: </w:t>
            </w:r>
            <w:r w:rsidRPr="008E389B">
              <w:rPr>
                <w:rFonts w:ascii="Times New Roman" w:eastAsia="Times New Roman" w:hAnsi="Times New Roman" w:cs="Times New Roman"/>
                <w:color w:val="800000"/>
                <w:lang w:eastAsia="ru-RU"/>
              </w:rPr>
              <w:t>Мичуринск, Липецк и Воронеж.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Притоки и водохранилища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На пути к Дону, в который Воронеж впадает на 1403 км от устья, река принимает 28 притоков.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Среди них наиболее значительные реки: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t> Иловай, Становая Ряса, Матыра и Усмань.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color w:val="800000"/>
                <w:lang w:eastAsia="ru-RU"/>
              </w:rPr>
              <w:t>Всего в бассейне Воронежа имеется 488 поверхностных водотоков с суммарной длиной </w:t>
            </w:r>
            <w:r w:rsidRPr="008E389B">
              <w:rPr>
                <w:rFonts w:ascii="Times New Roman" w:eastAsia="Times New Roman" w:hAnsi="Times New Roman" w:cs="Times New Roman"/>
                <w:color w:val="800000"/>
                <w:lang w:eastAsia="ru-RU"/>
              </w:rPr>
              <w:br/>
              <w:t>речной сети 4645 км.</w:t>
            </w:r>
          </w:p>
          <w:p w:rsidR="008E389B" w:rsidRPr="008E389B" w:rsidRDefault="008E389B" w:rsidP="008E38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89B"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ru-RU"/>
              </w:rPr>
              <w:lastRenderedPageBreak/>
              <w:t>Описание некоторых притоков Дона для водников в разделе сайта:</w:t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ru-RU"/>
              </w:rPr>
              <w:br/>
            </w:r>
            <w:hyperlink r:id="rId5" w:history="1">
              <w:r w:rsidRPr="008E38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Страничка туриста: "дикарём на природу"</w:t>
              </w:r>
            </w:hyperlink>
          </w:p>
          <w:p w:rsidR="008E389B" w:rsidRPr="008E389B" w:rsidRDefault="008E389B" w:rsidP="008E38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t>В Липецке для нужд водозабора Новолипецкого металлургического комбината построена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водосливная плотина, образующая так называемое Липецкое озеро (южнее Петровского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моста). </w:t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ru-RU"/>
              </w:rPr>
              <w:t>Примечание: </w:t>
            </w:r>
            <w:r w:rsidRPr="008E389B">
              <w:rPr>
                <w:rFonts w:ascii="Times New Roman" w:eastAsia="Times New Roman" w:hAnsi="Times New Roman" w:cs="Times New Roman"/>
                <w:color w:val="008000"/>
                <w:lang w:eastAsia="ru-RU"/>
              </w:rPr>
              <w:t>С 2009 г.</w:t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ru-RU"/>
              </w:rPr>
              <w:t> НЛМК </w:t>
            </w:r>
            <w:r w:rsidRPr="008E389B">
              <w:rPr>
                <w:rFonts w:ascii="Times New Roman" w:eastAsia="Times New Roman" w:hAnsi="Times New Roman" w:cs="Times New Roman"/>
                <w:color w:val="008000"/>
                <w:lang w:eastAsia="ru-RU"/>
              </w:rPr>
              <w:t>воду с реки </w:t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ru-RU"/>
              </w:rPr>
              <w:t>не забирает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Озеро используется так же в рекреационных целях.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А северо-восточнее Петровского моста в русло Воронежа находится Зелёный остров,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который используется в </w:t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рекреационных целях.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В нескольких километрах от устья реки в 1972 году была построена плотина,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образующая </w:t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Воронежское водохранилище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t>, г. Воронеж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Длина водохранилища около 35 км, зеркало вытянутое площадью 70,1 км²,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средняя ширина 2,1 км, ср. глубина 3,5 м, практически вся длина водохранилища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приходится на территорию города Воронежа, который разделён им на две части.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водохранилище возведено четыре моста: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t> Воронежский железнодорожный мост,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Северный, Чернавский и Вогрэсовский мосты.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Федеральная магистраль </w:t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«Дон»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t> также пересекает Воронеж на северной окраине города.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В будущем, согласно Генеральному плану развития г. Воронежа, планируется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строительство Южного моста через водохранилище (между Вогрэсовским мостом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и плотиной водохранилища).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Достопримечательности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Замок принцессы Ольденбургской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t>в посёлке Рамонь (Воронежская область),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1886 года постройки.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Экология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В 1933 году в статье «Река Воронеж, ее настоящее и будущее» Андрей Платонов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писал: «Некогда многоводная и сильная река одряхлела, истощилась, сошла до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поганой лужи. И в значительной степени это случилось от того, что человек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приложил к реке свою руку»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Река Воронеж один из наиболее загрязненных притоков Дона.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заметку: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t>По данным наблюдений за многолетний период средняя кратность превышения ПДК в устье Воронежа составляет: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по марганцу - в 13,5 раза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по нефтепродуктам - в 5,3 раза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по меди и железу общему - в 3,3 раза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азоту аммонийному, азоту нитритов и фосфатам - в 1,2-1,7 раз.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По индексу ИЗВ вода имеет 4 класс качества («загрязненная»).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color w:val="800000"/>
                <w:lang w:eastAsia="ru-RU"/>
              </w:rPr>
              <w:t>Высокая загрязненность вышеперечисленными элементами отмечается практически </w:t>
            </w:r>
            <w:r w:rsidRPr="008E389B">
              <w:rPr>
                <w:rFonts w:ascii="Times New Roman" w:eastAsia="Times New Roman" w:hAnsi="Times New Roman" w:cs="Times New Roman"/>
                <w:color w:val="800000"/>
                <w:lang w:eastAsia="ru-RU"/>
              </w:rPr>
              <w:br/>
              <w:t>на всем протяжении р. Воронеж и ее притоков: Матыры, Усмани и Лесного Воронежа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Биоресурсы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Этот раздел не завершён.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Вы поможете проекту, исправив и дополнив его.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Ихтиофауна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Ядро ихтиофаны реки Воронеж составляют представители семейства карповых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(30 видов - 65 %), вьюновые (5 видов - 10 %) и окунёвые (4 вида - 8 %).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рыб: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t>Минога украинская; Стерлядь; Щука; Синец; Лещ; Белоглазка;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Жерех обыкновенный; Густера; Волжский подуст; Белый амур; Пескарь; Голавль;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Елец (в том числе Данилевского); Язь; Чехонь; Гольян; Горчак; Вырезуб; Плотва;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Красноперка; Линь; Усатый Голец; Вьюн; Золотистая щиповка; Сом; Налим; Ёрш;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Речной окунь; Судак; Берш; Ротан; Бычок-песочник; Бычок-цуцик;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Охрана природной среды и биоразнообразия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color w:val="800000"/>
                <w:lang w:eastAsia="ru-RU"/>
              </w:rPr>
              <w:lastRenderedPageBreak/>
              <w:t>В Липецкой области действует долгосрочная программа </w:t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ru-RU"/>
              </w:rPr>
              <w:t>«Охрана окружающей природной среды Липецкой области на 2002-2010 годы».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В рамках программы в сентябре 2007 года в реку Воронеж было выпущено около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1 млн шт. молоди рыб: 350 тыс. штук молоди толстолобика, 350 тыс. штук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белого амура и 300 тыс. штук молоди сазана.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Вся рыба выращивалась в Добровском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t>(Липецкой обл.)</w:t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зональном рыбопитомнике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Правила рыболовства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Согласно Правилам рыболовства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t> для Азово-Черноморского рыбохозяйственного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бассейна с 20 апреля по 1 июня на территории Липецкой области в реках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донского бассейна запрещён вылов (добыча) рыбы на любые снасти.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В этот период рыбалка разрешена только в стоячих водоёмах (прудах, карьерах).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Кроме того, в период с 1 января по 31 мая - запрещен вылов (добыча) </w:t>
            </w:r>
            <w:r w:rsidRPr="008E389B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br/>
              <w:t>пресноводного рака.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ru-RU"/>
              </w:rPr>
              <w:t>В период с 15 ноября по 31 марта запрещена добыча (вылов) всех видов водных </w:t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ru-RU"/>
              </w:rPr>
              <w:br/>
              <w:t>биоресурсов на зимовальных ямах реки Воронеж.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ru-RU"/>
              </w:rPr>
              <w:t>Наименование зимовальной ямы Место расположения: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01."Окружная".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t> Воронежское водохранилище: расположена в районе северного участка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водохранилища с левого берега у полотна окружной автодороги Ростов - Москва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в 20 м от уреза воды;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02. "Остроженская".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t>Воронежское водохранилище: расположена в районе центрального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участка водохранилища - между Северным и железнодорожным мостами на траверзе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пристаней «Нептун» и «Турист» (левый берег) и «намытой песчаной косы»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в районе ж/д станции Отрожки (правый берег);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03. "Лесная".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t> Воронежское водохранилище: расположена в районе южного участка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водохранилища у правого берега напротив бывшей «Лесной школы» в 300 м от уреза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воды;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04. "20-я просека".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t> Река Воронеж: расположена в районе левого берега реки в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2,5 км по течению реки от села Вербилово (заказник «Колодезский»)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05. "Девическая".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t>Река Воронеж: расположена в 100 м от Демкинского лесничества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выше по течению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06. "Савицкая".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t> Река Воронеж: расположена в 400 м от моста через реку Воронеж ниже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по течению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07. "Яшкина".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t> Река Воронеж (город Липецк): расположена в районе водной базы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«Охотник» (левый берег) и завода «Свободный сокол», Ниженка (правый берег);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08. "Делеховская".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t> Река Воронеж (Добровский район): расположена на расстоянии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1 км от села Делеховое ниже по течению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09. "Шаршок".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t> Река Воронеж (Добровский район, село Доброе): расположена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в Добровском затоне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 "Спиртзаводская".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t> Река Воронеж (город Липецк): расположена в районе левого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берега реки у Липецкого спиртозавода (ул. Спиртозаводская р-он НЛМК))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 "Месевка"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t>. река Воронеж: затон «Месевка» выше 2-го мостового перехода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ru-RU"/>
              </w:rPr>
              <w:t>Кроме того, запрещен вылов рыб в шлюзовых каналах и на расстоянии менее </w:t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ru-RU"/>
              </w:rPr>
              <w:br/>
              <w:t>500 м у плотин, мостов, паромных переправ.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color w:val="800000"/>
                <w:lang w:eastAsia="ru-RU"/>
              </w:rPr>
              <w:t>Запрещены для добычи (вылова) в любые сроки и на любые снасти осетровые виды рыб, </w:t>
            </w:r>
            <w:r w:rsidRPr="008E389B">
              <w:rPr>
                <w:rFonts w:ascii="Times New Roman" w:eastAsia="Times New Roman" w:hAnsi="Times New Roman" w:cs="Times New Roman"/>
                <w:color w:val="800000"/>
                <w:lang w:eastAsia="ru-RU"/>
              </w:rPr>
              <w:br/>
              <w:t>миноги, вырезуб.</w:t>
            </w:r>
            <w:r w:rsidRPr="008E389B">
              <w:rPr>
                <w:rFonts w:ascii="Times New Roman" w:eastAsia="Times New Roman" w:hAnsi="Times New Roman" w:cs="Times New Roman"/>
                <w:color w:val="800000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Запрещена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t> ловля рака руками (вброд или нырянием).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Запрещена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t> ловля рака размером менее 9 см, а так же икряных самок любых размеров.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Разрешена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t> ловля рака раколовками в количестве не более пяти штук на пользователя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с диаметром каждой раколовки не более 80 см.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Правилами рыболовства определены минимальные размеры водных биоресурсов,</w:t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br/>
              <w:t>допустимых к вылову.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Запрещается добыча (вылов) водных биоресурсов, имеющих в свежем виде длину </w:t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меньше указанной в таблице: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ru-RU"/>
              </w:rPr>
              <w:t>Наименование водных биоресурсов Минимальная длина, см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Судак 38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Сом 60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Сазан 30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Карп 24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Тарань 16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Рыбец 22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Синец 24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Белый амур 45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Лещ 24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Форель 15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Усач 20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Подуст 15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Берш 25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Жерех 35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Толстолобик 50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Чехонь 24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Голавль 28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Линь 17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Щука 30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Язь 26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Окунь 15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Рак пресноводный 9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color w:val="800000"/>
                <w:lang w:eastAsia="ru-RU"/>
              </w:rPr>
              <w:t>Промысловый размер водных биоресурсов определяется в свежем виде: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 рыб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t> - путем измерения длины от вершины рыла (при закрытом рте) до основания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средних лучей хвостового плавника;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 ракообразных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t> - путем измерения тела от линии, соединяющей середину глаз,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до окончания хвостовых пластин.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Добытые (выловленные) водные биоресурсы, имеющие длину меньше указанной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в таблице, подлежат немедленному выпуску в естественную среду обитания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с наименьшими повреждениями.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Населённые пункты на реке Воронеж (от истока к устью)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Староюрьево (на притоке Лесной Воронеж) | Мичуринск (на притоке Лесной Воронеж) |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Дмитриевка (на притоке Польной Воронеж) | Новоникольское | Каликино | Доброе |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Панино | Большая Кузьминка | Жёлтые Пески | </w:t>
            </w:r>
            <w:r w:rsidRPr="008E3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Липецк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t> | Подгорное | Хрущёвка |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Ленино | Елецкое | Троицкое | Крутогорье | Пады | Грязное | Вербилово |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Мосты через реку Воронеж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железнодорожный в селе Новоникольское | автомобильный у села Тарбеево |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автомобильный у деревни Старая Казинка | автомобильный у деревни Ярок |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автомобильный в селе Кривец | автомобильный у села Преображеновка |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автомобильный в селе Доброе | автомобильный у села Большой Хомутец |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Сокольский автомобильный | Сокольский железнодорожный | Петровский |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Октябрьский | автомобильный по ЛКАД | автомобильный у села Ступино |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Рамонский | автомобильный на трассе «Дон» | Воронежский железнодорожный | 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  <w:t>Северный | Висячий | Придаченский | Чернавский | Вогрэсовский | Воронежская плотина</w:t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E38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Источник: Смотреть на странице "Литература" и на главной раздела.</w:t>
            </w:r>
          </w:p>
        </w:tc>
      </w:tr>
      <w:tr w:rsidR="008E389B" w:rsidRPr="008E389B" w:rsidTr="008E389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389B" w:rsidRPr="008E389B" w:rsidRDefault="008E389B" w:rsidP="008E38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</w:tr>
      <w:tr w:rsidR="008E389B" w:rsidRPr="008E389B" w:rsidTr="008E389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389B" w:rsidRPr="008E389B" w:rsidRDefault="008E389B" w:rsidP="008E38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8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45085C" w:rsidRPr="006D2586" w:rsidRDefault="0045085C" w:rsidP="006D2586">
      <w:pPr>
        <w:rPr>
          <w:rFonts w:asciiTheme="majorHAnsi" w:hAnsiTheme="majorHAnsi"/>
          <w:sz w:val="40"/>
          <w:szCs w:val="40"/>
        </w:rPr>
      </w:pPr>
      <w:bookmarkStart w:id="0" w:name="_GoBack"/>
      <w:bookmarkEnd w:id="0"/>
    </w:p>
    <w:sectPr w:rsidR="0045085C" w:rsidRPr="006D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B3"/>
    <w:rsid w:val="0045085C"/>
    <w:rsid w:val="006D2586"/>
    <w:rsid w:val="006D6148"/>
    <w:rsid w:val="008E389B"/>
    <w:rsid w:val="00D4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1C0F"/>
  <w15:chartTrackingRefBased/>
  <w15:docId w15:val="{5C40AC71-01DB-47E7-844D-E262D126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49B3"/>
    <w:rPr>
      <w:color w:val="808080"/>
    </w:rPr>
  </w:style>
  <w:style w:type="paragraph" w:styleId="a4">
    <w:name w:val="Normal (Web)"/>
    <w:basedOn w:val="a"/>
    <w:uiPriority w:val="99"/>
    <w:semiHidden/>
    <w:unhideWhenUsed/>
    <w:rsid w:val="008E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389B"/>
  </w:style>
  <w:style w:type="character" w:styleId="a5">
    <w:name w:val="Hyperlink"/>
    <w:basedOn w:val="a0"/>
    <w:uiPriority w:val="99"/>
    <w:semiHidden/>
    <w:unhideWhenUsed/>
    <w:rsid w:val="008E38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6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perekate.narod.ru/nature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Святослав</dc:creator>
  <cp:keywords/>
  <dc:description/>
  <cp:lastModifiedBy>Святослав</cp:lastModifiedBy>
  <cp:revision>2</cp:revision>
  <dcterms:created xsi:type="dcterms:W3CDTF">2015-11-30T12:57:00Z</dcterms:created>
  <dcterms:modified xsi:type="dcterms:W3CDTF">2015-11-30T12:57:00Z</dcterms:modified>
</cp:coreProperties>
</file>