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39F07" w14:textId="77777777" w:rsidR="008F22A9" w:rsidRDefault="008F22A9" w:rsidP="008F22A9">
      <w:pPr>
        <w:pStyle w:val="1"/>
      </w:pPr>
      <w:bookmarkStart w:id="0" w:name="_Toc86330691"/>
      <w:bookmarkStart w:id="1" w:name="_Toc86348894"/>
      <w:bookmarkStart w:id="2" w:name="_Toc86599800"/>
      <w:bookmarkStart w:id="3" w:name="_Toc86811767"/>
      <w:bookmarkStart w:id="4" w:name="_Toc86812025"/>
      <w:bookmarkStart w:id="5" w:name="_Toc86812105"/>
      <w:r>
        <w:t>Тема. ОСНОВНЫЕ ПРОИЗВОДСТВЕННЫЕ ФОНДЫ</w:t>
      </w:r>
      <w:bookmarkEnd w:id="0"/>
      <w:bookmarkEnd w:id="1"/>
      <w:bookmarkEnd w:id="2"/>
      <w:bookmarkEnd w:id="3"/>
      <w:bookmarkEnd w:id="4"/>
      <w:bookmarkEnd w:id="5"/>
    </w:p>
    <w:p w14:paraId="176899F3" w14:textId="77777777" w:rsidR="008F22A9" w:rsidRDefault="008F22A9" w:rsidP="008F22A9">
      <w:pPr>
        <w:pStyle w:val="a3"/>
        <w:numPr>
          <w:ilvl w:val="0"/>
          <w:numId w:val="1"/>
        </w:num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Коэффициент выбытия: </w:t>
      </w:r>
    </w:p>
    <w:p w14:paraId="22E6C0EB" w14:textId="77777777" w:rsidR="008F22A9" w:rsidRDefault="008F22A9" w:rsidP="008F22A9">
      <w:pPr>
        <w:pStyle w:val="a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К</w:t>
      </w:r>
      <w:r>
        <w:rPr>
          <w:sz w:val="24"/>
          <w:szCs w:val="24"/>
          <w:u w:val="none"/>
          <w:vertAlign w:val="subscript"/>
        </w:rPr>
        <w:t>выб</w:t>
      </w:r>
      <w:r>
        <w:rPr>
          <w:sz w:val="24"/>
          <w:szCs w:val="24"/>
          <w:u w:val="none"/>
        </w:rPr>
        <w:t xml:space="preserve"> = </w:t>
      </w:r>
      <w:r w:rsidRPr="000013D8">
        <w:rPr>
          <w:position w:val="-24"/>
          <w:sz w:val="24"/>
          <w:szCs w:val="24"/>
          <w:u w:val="none"/>
        </w:rPr>
        <w:object w:dxaOrig="880" w:dyaOrig="620" w14:anchorId="3316DE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31.2pt" o:ole="" fillcolor="window">
            <v:imagedata r:id="rId5" o:title=""/>
          </v:shape>
          <o:OLEObject Type="Embed" ProgID="Equation.3" ShapeID="_x0000_i1025" DrawAspect="Content" ObjectID="_1648410123" r:id="rId6"/>
        </w:object>
      </w:r>
      <w:r>
        <w:rPr>
          <w:sz w:val="24"/>
          <w:szCs w:val="24"/>
          <w:u w:val="none"/>
        </w:rPr>
        <w:t>;</w:t>
      </w:r>
    </w:p>
    <w:p w14:paraId="0983AF59" w14:textId="77777777" w:rsidR="008F22A9" w:rsidRDefault="008F22A9" w:rsidP="008F22A9">
      <w:pPr>
        <w:pStyle w:val="a3"/>
        <w:ind w:left="108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где: ОФ</w:t>
      </w:r>
      <w:r>
        <w:rPr>
          <w:sz w:val="24"/>
          <w:szCs w:val="24"/>
          <w:u w:val="none"/>
          <w:vertAlign w:val="subscript"/>
        </w:rPr>
        <w:t>выб</w:t>
      </w:r>
      <w:r>
        <w:rPr>
          <w:sz w:val="24"/>
          <w:szCs w:val="24"/>
          <w:u w:val="none"/>
        </w:rPr>
        <w:t xml:space="preserve"> - стоимость выбывающих основных фондов;</w:t>
      </w:r>
    </w:p>
    <w:p w14:paraId="1BEA90BF" w14:textId="77777777" w:rsidR="008F22A9" w:rsidRDefault="008F22A9" w:rsidP="008F22A9">
      <w:pPr>
        <w:pStyle w:val="a3"/>
        <w:ind w:left="108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ОФ</w:t>
      </w:r>
      <w:r>
        <w:rPr>
          <w:sz w:val="24"/>
          <w:szCs w:val="24"/>
          <w:u w:val="none"/>
          <w:vertAlign w:val="subscript"/>
        </w:rPr>
        <w:t>н.г</w:t>
      </w:r>
      <w:r>
        <w:rPr>
          <w:sz w:val="24"/>
          <w:szCs w:val="24"/>
          <w:u w:val="none"/>
        </w:rPr>
        <w:t>. – стоимость основных фондов на начало года.</w:t>
      </w:r>
    </w:p>
    <w:p w14:paraId="10BFB7B2" w14:textId="77777777" w:rsidR="008F22A9" w:rsidRDefault="008F22A9" w:rsidP="008F22A9">
      <w:pPr>
        <w:pStyle w:val="a3"/>
        <w:numPr>
          <w:ilvl w:val="0"/>
          <w:numId w:val="1"/>
        </w:num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Коэффициент обновления: </w:t>
      </w:r>
    </w:p>
    <w:p w14:paraId="25F6E602" w14:textId="77777777" w:rsidR="008F22A9" w:rsidRDefault="008F22A9" w:rsidP="008F22A9">
      <w:pPr>
        <w:pStyle w:val="a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К</w:t>
      </w:r>
      <w:r>
        <w:rPr>
          <w:sz w:val="24"/>
          <w:szCs w:val="24"/>
          <w:u w:val="none"/>
          <w:vertAlign w:val="subscript"/>
        </w:rPr>
        <w:t>обн</w:t>
      </w:r>
      <w:r>
        <w:rPr>
          <w:sz w:val="24"/>
          <w:szCs w:val="24"/>
          <w:u w:val="none"/>
        </w:rPr>
        <w:t xml:space="preserve"> = </w:t>
      </w:r>
      <w:r w:rsidRPr="000013D8">
        <w:rPr>
          <w:position w:val="-24"/>
          <w:sz w:val="24"/>
          <w:szCs w:val="24"/>
          <w:u w:val="none"/>
        </w:rPr>
        <w:object w:dxaOrig="780" w:dyaOrig="620" w14:anchorId="0F7121B4">
          <v:shape id="_x0000_i1026" type="#_x0000_t75" style="width:38.4pt;height:31.2pt" o:ole="" fillcolor="window">
            <v:imagedata r:id="rId7" o:title=""/>
          </v:shape>
          <o:OLEObject Type="Embed" ProgID="Equation.3" ShapeID="_x0000_i1026" DrawAspect="Content" ObjectID="_1648410124" r:id="rId8"/>
        </w:object>
      </w:r>
      <w:r>
        <w:rPr>
          <w:sz w:val="24"/>
          <w:szCs w:val="24"/>
          <w:u w:val="none"/>
        </w:rPr>
        <w:t>;</w:t>
      </w:r>
    </w:p>
    <w:p w14:paraId="0BE29300" w14:textId="77777777" w:rsidR="008F22A9" w:rsidRDefault="008F22A9" w:rsidP="008F22A9">
      <w:pPr>
        <w:pStyle w:val="a3"/>
        <w:ind w:left="36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ab/>
        <w:t>где: ОФ</w:t>
      </w:r>
      <w:r>
        <w:rPr>
          <w:sz w:val="24"/>
          <w:szCs w:val="24"/>
          <w:u w:val="none"/>
          <w:vertAlign w:val="subscript"/>
        </w:rPr>
        <w:t>вв</w:t>
      </w:r>
      <w:r>
        <w:rPr>
          <w:sz w:val="24"/>
          <w:szCs w:val="24"/>
          <w:u w:val="none"/>
        </w:rPr>
        <w:t xml:space="preserve"> – стоимость введенных основных фондов;</w:t>
      </w:r>
    </w:p>
    <w:p w14:paraId="0E2E2A4A" w14:textId="77777777" w:rsidR="008F22A9" w:rsidRDefault="008F22A9" w:rsidP="008F22A9">
      <w:pPr>
        <w:pStyle w:val="a3"/>
        <w:ind w:left="360" w:firstLine="36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ОФ</w:t>
      </w:r>
      <w:r>
        <w:rPr>
          <w:sz w:val="24"/>
          <w:szCs w:val="24"/>
          <w:u w:val="none"/>
          <w:vertAlign w:val="subscript"/>
        </w:rPr>
        <w:t>к.г.</w:t>
      </w:r>
      <w:r>
        <w:rPr>
          <w:sz w:val="24"/>
          <w:szCs w:val="24"/>
          <w:u w:val="none"/>
        </w:rPr>
        <w:t xml:space="preserve"> – стоимость основных фондов на конец года.</w:t>
      </w:r>
    </w:p>
    <w:p w14:paraId="1C1910B5" w14:textId="77777777" w:rsidR="008F22A9" w:rsidRDefault="008F22A9" w:rsidP="008F22A9">
      <w:pPr>
        <w:pStyle w:val="a3"/>
        <w:numPr>
          <w:ilvl w:val="0"/>
          <w:numId w:val="1"/>
        </w:num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Стоимость основных фондов на конец года:</w:t>
      </w:r>
    </w:p>
    <w:p w14:paraId="08A2AF99" w14:textId="77777777" w:rsidR="008F22A9" w:rsidRDefault="008F22A9" w:rsidP="008F22A9">
      <w:pPr>
        <w:pStyle w:val="a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ОФ</w:t>
      </w:r>
      <w:r>
        <w:rPr>
          <w:sz w:val="24"/>
          <w:szCs w:val="24"/>
          <w:u w:val="none"/>
          <w:vertAlign w:val="subscript"/>
        </w:rPr>
        <w:t>к.г.</w:t>
      </w:r>
      <w:r>
        <w:rPr>
          <w:sz w:val="24"/>
          <w:szCs w:val="24"/>
          <w:u w:val="none"/>
        </w:rPr>
        <w:t xml:space="preserve"> = ОФ</w:t>
      </w:r>
      <w:r>
        <w:rPr>
          <w:sz w:val="24"/>
          <w:szCs w:val="24"/>
          <w:u w:val="none"/>
          <w:vertAlign w:val="subscript"/>
        </w:rPr>
        <w:t>н.г.</w:t>
      </w:r>
      <w:r>
        <w:rPr>
          <w:sz w:val="24"/>
          <w:szCs w:val="24"/>
          <w:u w:val="none"/>
        </w:rPr>
        <w:t xml:space="preserve"> + ОФ</w:t>
      </w:r>
      <w:r>
        <w:rPr>
          <w:sz w:val="24"/>
          <w:szCs w:val="24"/>
          <w:u w:val="none"/>
          <w:vertAlign w:val="subscript"/>
        </w:rPr>
        <w:t>вв</w:t>
      </w:r>
      <w:r>
        <w:rPr>
          <w:sz w:val="24"/>
          <w:szCs w:val="24"/>
          <w:u w:val="none"/>
        </w:rPr>
        <w:t xml:space="preserve"> – ОФ </w:t>
      </w:r>
      <w:r>
        <w:rPr>
          <w:sz w:val="24"/>
          <w:szCs w:val="24"/>
          <w:u w:val="none"/>
          <w:vertAlign w:val="subscript"/>
        </w:rPr>
        <w:t>выб</w:t>
      </w:r>
      <w:r>
        <w:rPr>
          <w:sz w:val="24"/>
          <w:szCs w:val="24"/>
          <w:u w:val="none"/>
        </w:rPr>
        <w:t>.</w:t>
      </w:r>
    </w:p>
    <w:p w14:paraId="64372AC4" w14:textId="77777777" w:rsidR="008F22A9" w:rsidRDefault="008F22A9" w:rsidP="008F22A9">
      <w:pPr>
        <w:pStyle w:val="a3"/>
        <w:numPr>
          <w:ilvl w:val="0"/>
          <w:numId w:val="1"/>
        </w:num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Коэффициент прироста: </w:t>
      </w:r>
    </w:p>
    <w:p w14:paraId="33708529" w14:textId="77777777" w:rsidR="008F22A9" w:rsidRDefault="008F22A9" w:rsidP="008F22A9">
      <w:pPr>
        <w:pStyle w:val="a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К</w:t>
      </w:r>
      <w:r>
        <w:rPr>
          <w:sz w:val="24"/>
          <w:szCs w:val="24"/>
          <w:u w:val="none"/>
          <w:vertAlign w:val="subscript"/>
        </w:rPr>
        <w:t>прир</w:t>
      </w:r>
      <w:r>
        <w:rPr>
          <w:sz w:val="24"/>
          <w:szCs w:val="24"/>
          <w:u w:val="none"/>
        </w:rPr>
        <w:t xml:space="preserve"> = </w:t>
      </w:r>
      <w:r w:rsidRPr="000013D8">
        <w:rPr>
          <w:position w:val="-24"/>
          <w:sz w:val="24"/>
          <w:szCs w:val="24"/>
          <w:u w:val="none"/>
        </w:rPr>
        <w:object w:dxaOrig="1680" w:dyaOrig="620" w14:anchorId="0226A034">
          <v:shape id="_x0000_i1027" type="#_x0000_t75" style="width:84pt;height:31.2pt" o:ole="" fillcolor="window">
            <v:imagedata r:id="rId9" o:title=""/>
          </v:shape>
          <o:OLEObject Type="Embed" ProgID="Equation.3" ShapeID="_x0000_i1027" DrawAspect="Content" ObjectID="_1648410125" r:id="rId10"/>
        </w:object>
      </w:r>
      <w:r>
        <w:rPr>
          <w:sz w:val="24"/>
          <w:szCs w:val="24"/>
          <w:u w:val="none"/>
        </w:rPr>
        <w:t>.</w:t>
      </w:r>
    </w:p>
    <w:p w14:paraId="7EB13535" w14:textId="77777777" w:rsidR="008F22A9" w:rsidRDefault="008F22A9" w:rsidP="008F22A9">
      <w:pPr>
        <w:pStyle w:val="a3"/>
        <w:numPr>
          <w:ilvl w:val="0"/>
          <w:numId w:val="1"/>
        </w:num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Среднегодовая стоимость основных фондов:</w:t>
      </w:r>
    </w:p>
    <w:p w14:paraId="6F531EBF" w14:textId="77777777" w:rsidR="008F22A9" w:rsidRDefault="008F22A9" w:rsidP="008F22A9">
      <w:pPr>
        <w:pStyle w:val="a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ОФ </w:t>
      </w:r>
      <w:r>
        <w:rPr>
          <w:sz w:val="24"/>
          <w:szCs w:val="24"/>
          <w:u w:val="none"/>
          <w:vertAlign w:val="subscript"/>
        </w:rPr>
        <w:t>ср</w:t>
      </w:r>
      <w:r>
        <w:rPr>
          <w:sz w:val="24"/>
          <w:szCs w:val="24"/>
          <w:u w:val="none"/>
        </w:rPr>
        <w:t xml:space="preserve"> = ОФ </w:t>
      </w:r>
      <w:r>
        <w:rPr>
          <w:sz w:val="24"/>
          <w:szCs w:val="24"/>
          <w:u w:val="none"/>
          <w:vertAlign w:val="subscript"/>
        </w:rPr>
        <w:t>н.г.</w:t>
      </w:r>
      <w:r>
        <w:rPr>
          <w:sz w:val="24"/>
          <w:szCs w:val="24"/>
          <w:u w:val="none"/>
        </w:rPr>
        <w:t xml:space="preserve"> + </w:t>
      </w:r>
      <w:r w:rsidRPr="000013D8">
        <w:rPr>
          <w:position w:val="-24"/>
          <w:sz w:val="24"/>
          <w:szCs w:val="24"/>
          <w:u w:val="none"/>
        </w:rPr>
        <w:object w:dxaOrig="3700" w:dyaOrig="700" w14:anchorId="1EDCAC01">
          <v:shape id="_x0000_i1028" type="#_x0000_t75" style="width:184.8pt;height:35.4pt" o:ole="" fillcolor="window">
            <v:imagedata r:id="rId11" o:title=""/>
          </v:shape>
          <o:OLEObject Type="Embed" ProgID="Equation.3" ShapeID="_x0000_i1028" DrawAspect="Content" ObjectID="_1648410126" r:id="rId12"/>
        </w:object>
      </w:r>
      <w:r>
        <w:rPr>
          <w:sz w:val="24"/>
          <w:szCs w:val="24"/>
          <w:u w:val="none"/>
        </w:rPr>
        <w:t>;</w:t>
      </w:r>
    </w:p>
    <w:p w14:paraId="62CF8630" w14:textId="77777777" w:rsidR="008F22A9" w:rsidRDefault="008F22A9" w:rsidP="008F22A9">
      <w:pPr>
        <w:pStyle w:val="a3"/>
        <w:ind w:left="108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где: К</w:t>
      </w:r>
      <w:r w:rsidRPr="000013D8">
        <w:rPr>
          <w:position w:val="-10"/>
          <w:sz w:val="24"/>
          <w:szCs w:val="24"/>
          <w:u w:val="none"/>
        </w:rPr>
        <w:object w:dxaOrig="120" w:dyaOrig="340" w14:anchorId="12BF764A">
          <v:shape id="_x0000_i1029" type="#_x0000_t75" style="width:6.6pt;height:17.4pt" o:ole="" fillcolor="window">
            <v:imagedata r:id="rId13" o:title=""/>
          </v:shape>
          <o:OLEObject Type="Embed" ProgID="Equation.3" ShapeID="_x0000_i1029" DrawAspect="Content" ObjectID="_1648410127" r:id="rId14"/>
        </w:object>
      </w:r>
      <w:r w:rsidRPr="000013D8">
        <w:rPr>
          <w:position w:val="-14"/>
          <w:sz w:val="24"/>
          <w:szCs w:val="24"/>
          <w:u w:val="none"/>
        </w:rPr>
        <w:object w:dxaOrig="139" w:dyaOrig="380" w14:anchorId="5629A9C8">
          <v:shape id="_x0000_i1030" type="#_x0000_t75" style="width:6.6pt;height:18pt" o:ole="" fillcolor="window">
            <v:imagedata r:id="rId15" o:title=""/>
          </v:shape>
          <o:OLEObject Type="Embed" ProgID="Equation.3" ShapeID="_x0000_i1030" DrawAspect="Content" ObjectID="_1648410128" r:id="rId16"/>
        </w:object>
      </w:r>
      <w:r>
        <w:rPr>
          <w:sz w:val="24"/>
          <w:szCs w:val="24"/>
          <w:u w:val="none"/>
        </w:rPr>
        <w:t>и К</w:t>
      </w:r>
      <w:r w:rsidRPr="000013D8">
        <w:rPr>
          <w:position w:val="-10"/>
          <w:sz w:val="24"/>
          <w:szCs w:val="24"/>
          <w:u w:val="none"/>
        </w:rPr>
        <w:object w:dxaOrig="160" w:dyaOrig="340" w14:anchorId="176340A4">
          <v:shape id="_x0000_i1031" type="#_x0000_t75" style="width:8.4pt;height:17.4pt" o:ole="" fillcolor="window">
            <v:imagedata r:id="rId17" o:title=""/>
          </v:shape>
          <o:OLEObject Type="Embed" ProgID="Equation.3" ShapeID="_x0000_i1031" DrawAspect="Content" ObjectID="_1648410129" r:id="rId18"/>
        </w:object>
      </w:r>
      <w:r>
        <w:rPr>
          <w:sz w:val="24"/>
          <w:szCs w:val="24"/>
          <w:u w:val="none"/>
        </w:rPr>
        <w:t>– количество месяцев, в течение которых фонды находились в эксплуатации.</w:t>
      </w:r>
    </w:p>
    <w:p w14:paraId="4E5BC291" w14:textId="77777777" w:rsidR="008F22A9" w:rsidRDefault="008F22A9" w:rsidP="008F22A9">
      <w:pPr>
        <w:pStyle w:val="a3"/>
        <w:numPr>
          <w:ilvl w:val="0"/>
          <w:numId w:val="1"/>
        </w:num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Рентабельность производства (общая): </w:t>
      </w:r>
    </w:p>
    <w:p w14:paraId="31441A6E" w14:textId="77777777" w:rsidR="008F22A9" w:rsidRDefault="008F22A9" w:rsidP="008F22A9">
      <w:pPr>
        <w:pStyle w:val="a3"/>
        <w:rPr>
          <w:sz w:val="24"/>
          <w:szCs w:val="24"/>
          <w:u w:val="none"/>
        </w:rPr>
      </w:pPr>
      <w:r>
        <w:rPr>
          <w:sz w:val="24"/>
          <w:szCs w:val="24"/>
          <w:u w:val="none"/>
          <w:lang w:val="en-US"/>
        </w:rPr>
        <w:t>R</w:t>
      </w:r>
      <w:r>
        <w:rPr>
          <w:sz w:val="24"/>
          <w:szCs w:val="24"/>
          <w:u w:val="none"/>
          <w:vertAlign w:val="subscript"/>
        </w:rPr>
        <w:t>общ</w:t>
      </w:r>
      <w:r>
        <w:rPr>
          <w:sz w:val="24"/>
          <w:szCs w:val="24"/>
          <w:u w:val="none"/>
        </w:rPr>
        <w:t xml:space="preserve"> = </w:t>
      </w:r>
      <w:r w:rsidRPr="000013D8">
        <w:rPr>
          <w:position w:val="-28"/>
          <w:sz w:val="24"/>
          <w:szCs w:val="24"/>
          <w:u w:val="none"/>
        </w:rPr>
        <w:object w:dxaOrig="1620" w:dyaOrig="660" w14:anchorId="55B38508">
          <v:shape id="_x0000_i1032" type="#_x0000_t75" style="width:80.4pt;height:33pt" o:ole="" fillcolor="window">
            <v:imagedata r:id="rId19" o:title=""/>
          </v:shape>
          <o:OLEObject Type="Embed" ProgID="Equation.3" ShapeID="_x0000_i1032" DrawAspect="Content" ObjectID="_1648410130" r:id="rId20"/>
        </w:object>
      </w:r>
      <w:r>
        <w:rPr>
          <w:sz w:val="24"/>
          <w:szCs w:val="24"/>
          <w:u w:val="none"/>
        </w:rPr>
        <w:t>· 100%;</w:t>
      </w:r>
    </w:p>
    <w:p w14:paraId="1CB6BB11" w14:textId="77777777" w:rsidR="008F22A9" w:rsidRDefault="008F22A9" w:rsidP="008F22A9">
      <w:pPr>
        <w:pStyle w:val="a3"/>
        <w:ind w:left="108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где: ОбС </w:t>
      </w:r>
      <w:r>
        <w:rPr>
          <w:sz w:val="24"/>
          <w:szCs w:val="24"/>
          <w:u w:val="none"/>
          <w:vertAlign w:val="subscript"/>
        </w:rPr>
        <w:t>ср</w:t>
      </w:r>
      <w:r>
        <w:rPr>
          <w:sz w:val="24"/>
          <w:szCs w:val="24"/>
          <w:u w:val="none"/>
        </w:rPr>
        <w:t xml:space="preserve"> – среднегодовая стоимость оборотных средств.</w:t>
      </w:r>
    </w:p>
    <w:p w14:paraId="29332B22" w14:textId="77777777" w:rsidR="008F22A9" w:rsidRPr="007C71DD" w:rsidRDefault="008F22A9" w:rsidP="008F22A9">
      <w:pPr>
        <w:pStyle w:val="5"/>
      </w:pPr>
    </w:p>
    <w:p w14:paraId="2B0A746B" w14:textId="77777777" w:rsidR="008F22A9" w:rsidRPr="007C71DD" w:rsidRDefault="008F22A9" w:rsidP="008F22A9">
      <w:pPr>
        <w:pStyle w:val="5"/>
      </w:pPr>
    </w:p>
    <w:p w14:paraId="4B210822" w14:textId="77777777" w:rsidR="008F22A9" w:rsidRPr="007C71DD" w:rsidRDefault="008F22A9" w:rsidP="008F22A9">
      <w:pPr>
        <w:pStyle w:val="5"/>
      </w:pPr>
    </w:p>
    <w:p w14:paraId="4D41E355" w14:textId="77777777" w:rsidR="008F22A9" w:rsidRPr="007C71DD" w:rsidRDefault="008F22A9" w:rsidP="008F22A9">
      <w:pPr>
        <w:pStyle w:val="5"/>
      </w:pPr>
    </w:p>
    <w:p w14:paraId="73BB0BB1" w14:textId="77777777" w:rsidR="008F22A9" w:rsidRPr="007C71DD" w:rsidRDefault="008F22A9" w:rsidP="008F22A9">
      <w:pPr>
        <w:pStyle w:val="5"/>
      </w:pPr>
    </w:p>
    <w:p w14:paraId="69BC8101" w14:textId="77777777" w:rsidR="008F22A9" w:rsidRPr="007C71DD" w:rsidRDefault="008F22A9" w:rsidP="008F22A9">
      <w:pPr>
        <w:pStyle w:val="5"/>
      </w:pPr>
    </w:p>
    <w:p w14:paraId="7FADFF5E" w14:textId="77777777" w:rsidR="008F22A9" w:rsidRPr="007C71DD" w:rsidRDefault="008F22A9" w:rsidP="008F22A9">
      <w:pPr>
        <w:pStyle w:val="5"/>
      </w:pPr>
    </w:p>
    <w:p w14:paraId="512AAA97" w14:textId="77777777" w:rsidR="008F22A9" w:rsidRPr="007C71DD" w:rsidRDefault="008F22A9" w:rsidP="008F22A9">
      <w:pPr>
        <w:pStyle w:val="5"/>
      </w:pPr>
    </w:p>
    <w:p w14:paraId="6CDF3CFE" w14:textId="77777777" w:rsidR="008F22A9" w:rsidRPr="007C71DD" w:rsidRDefault="008F22A9" w:rsidP="008F22A9">
      <w:pPr>
        <w:pStyle w:val="5"/>
      </w:pPr>
    </w:p>
    <w:p w14:paraId="4B33C9D1" w14:textId="77777777" w:rsidR="008F22A9" w:rsidRPr="007C71DD" w:rsidRDefault="008F22A9" w:rsidP="008F22A9">
      <w:pPr>
        <w:pStyle w:val="5"/>
      </w:pPr>
    </w:p>
    <w:p w14:paraId="1CD24659" w14:textId="77777777" w:rsidR="008F22A9" w:rsidRPr="007C71DD" w:rsidRDefault="008F22A9" w:rsidP="008F22A9">
      <w:pPr>
        <w:pStyle w:val="5"/>
      </w:pPr>
    </w:p>
    <w:p w14:paraId="49E17BA1" w14:textId="77777777" w:rsidR="008F22A9" w:rsidRPr="007C71DD" w:rsidRDefault="008F22A9" w:rsidP="008F22A9">
      <w:pPr>
        <w:pStyle w:val="5"/>
      </w:pPr>
    </w:p>
    <w:p w14:paraId="6A50AB46" w14:textId="77777777" w:rsidR="008F22A9" w:rsidRPr="007C71DD" w:rsidRDefault="008F22A9" w:rsidP="008F22A9">
      <w:pPr>
        <w:pStyle w:val="5"/>
      </w:pPr>
    </w:p>
    <w:p w14:paraId="33C789D3" w14:textId="77777777" w:rsidR="008F22A9" w:rsidRPr="007C71DD" w:rsidRDefault="008F22A9" w:rsidP="008F22A9">
      <w:pPr>
        <w:pStyle w:val="5"/>
      </w:pPr>
    </w:p>
    <w:p w14:paraId="08FF44FD" w14:textId="77777777" w:rsidR="008F22A9" w:rsidRPr="007C71DD" w:rsidRDefault="008F22A9" w:rsidP="008F22A9">
      <w:pPr>
        <w:pStyle w:val="5"/>
      </w:pPr>
    </w:p>
    <w:p w14:paraId="44064F83" w14:textId="77777777" w:rsidR="008F22A9" w:rsidRPr="007C71DD" w:rsidRDefault="008F22A9" w:rsidP="008F22A9">
      <w:pPr>
        <w:pStyle w:val="5"/>
      </w:pPr>
    </w:p>
    <w:p w14:paraId="412537DF" w14:textId="77777777" w:rsidR="008F22A9" w:rsidRPr="007C71DD" w:rsidRDefault="008F22A9" w:rsidP="008F22A9">
      <w:pPr>
        <w:pStyle w:val="5"/>
      </w:pPr>
    </w:p>
    <w:p w14:paraId="4BDD3356" w14:textId="77777777" w:rsidR="008F22A9" w:rsidRDefault="008F22A9" w:rsidP="008F22A9">
      <w:pPr>
        <w:pStyle w:val="1"/>
      </w:pPr>
      <w:r>
        <w:lastRenderedPageBreak/>
        <w:t>Тема . ОСНОВНЫЕ ПРОИЗВОДСТВЕННЫЕ ФОНДЫ</w:t>
      </w:r>
    </w:p>
    <w:p w14:paraId="00075578" w14:textId="77777777" w:rsidR="008F22A9" w:rsidRDefault="008F22A9" w:rsidP="008F22A9">
      <w:pPr>
        <w:pStyle w:val="5"/>
      </w:pPr>
      <w:r>
        <w:t>ЗАДАЧА 1</w:t>
      </w:r>
    </w:p>
    <w:p w14:paraId="4BEDE849" w14:textId="3F7943FC" w:rsidR="007A2013" w:rsidRDefault="008F22A9" w:rsidP="007A2013">
      <w:pPr>
        <w:pStyle w:val="a3"/>
        <w:ind w:firstLine="72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Определить показатели движения ОФ (в процентах). Стоимость введенных ОФ на предприятии составила 862 млн. руб. Выбывшие ОФ – 236 млн. руб. На начало года стоимость ОФ составляла 8560 млн. руб.</w:t>
      </w:r>
    </w:p>
    <w:p w14:paraId="1CC1875C" w14:textId="77777777" w:rsidR="007A2013" w:rsidRDefault="007A2013" w:rsidP="008F22A9">
      <w:pPr>
        <w:pStyle w:val="a3"/>
        <w:ind w:firstLine="720"/>
        <w:jc w:val="both"/>
        <w:rPr>
          <w:sz w:val="24"/>
          <w:szCs w:val="24"/>
          <w:u w:val="none"/>
        </w:rPr>
      </w:pPr>
    </w:p>
    <w:p w14:paraId="5D4778FF" w14:textId="77777777" w:rsidR="008F22A9" w:rsidRDefault="008F22A9" w:rsidP="008F22A9">
      <w:pPr>
        <w:pStyle w:val="5"/>
      </w:pPr>
      <w:r>
        <w:t>ЗАДАЧА 2</w:t>
      </w:r>
    </w:p>
    <w:p w14:paraId="19F9B4B1" w14:textId="77777777" w:rsidR="008F22A9" w:rsidRPr="008F22A9" w:rsidRDefault="008F22A9" w:rsidP="008F22A9">
      <w:pPr>
        <w:pStyle w:val="a3"/>
        <w:ind w:firstLine="72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Определить фондоотдачу и фондоемкость, если объем товарной продукции составил 12386 млн. руб., остаток незавершенного производства: на начало года – 926,38 млн. руб., на конец года – 398,306 млн. руб. Среднегодовая стоимость ОПФ – 10396,248 млн. руб.</w:t>
      </w:r>
    </w:p>
    <w:p w14:paraId="1B95ACEA" w14:textId="77777777" w:rsidR="008F22A9" w:rsidRPr="008F22A9" w:rsidRDefault="008F22A9" w:rsidP="008F22A9">
      <w:pPr>
        <w:pStyle w:val="a3"/>
        <w:ind w:firstLine="720"/>
        <w:jc w:val="both"/>
        <w:rPr>
          <w:sz w:val="24"/>
          <w:szCs w:val="24"/>
          <w:u w:val="none"/>
        </w:rPr>
      </w:pPr>
    </w:p>
    <w:p w14:paraId="581752D7" w14:textId="77777777" w:rsidR="008F22A9" w:rsidRDefault="008F22A9" w:rsidP="008F22A9">
      <w:pPr>
        <w:pStyle w:val="5"/>
      </w:pPr>
      <w:r>
        <w:t>ЗАДАЧА 3</w:t>
      </w:r>
    </w:p>
    <w:p w14:paraId="11D1E709" w14:textId="77777777" w:rsidR="008F22A9" w:rsidRPr="007C71DD" w:rsidRDefault="008F22A9" w:rsidP="008F22A9">
      <w:pPr>
        <w:pStyle w:val="a3"/>
        <w:ind w:firstLine="72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Определить рентабельность производства, если прибыль предприятия составляет – 365 млн. руб., среднегодовая стоимость ОФ – 960 млн. руб., среднегодовая стоимость оборотных средств – 525 млн. руб.</w:t>
      </w:r>
    </w:p>
    <w:p w14:paraId="3C991172" w14:textId="77777777" w:rsidR="008F22A9" w:rsidRPr="007C71DD" w:rsidRDefault="008F22A9" w:rsidP="008F22A9">
      <w:pPr>
        <w:pStyle w:val="a3"/>
        <w:ind w:firstLine="720"/>
        <w:jc w:val="both"/>
        <w:rPr>
          <w:sz w:val="24"/>
          <w:szCs w:val="24"/>
          <w:u w:val="none"/>
        </w:rPr>
      </w:pPr>
    </w:p>
    <w:p w14:paraId="573F1FB3" w14:textId="77777777" w:rsidR="000B05A0" w:rsidRDefault="000B05A0"/>
    <w:p w14:paraId="2BAFF556" w14:textId="77777777" w:rsidR="008F22A9" w:rsidRDefault="008F22A9"/>
    <w:p w14:paraId="1863BFE2" w14:textId="77777777" w:rsidR="008F22A9" w:rsidRDefault="008F22A9"/>
    <w:p w14:paraId="45C4FA32" w14:textId="77777777" w:rsidR="008F22A9" w:rsidRDefault="008F22A9"/>
    <w:p w14:paraId="30BF39BD" w14:textId="77777777" w:rsidR="008F22A9" w:rsidRDefault="008F22A9"/>
    <w:sectPr w:rsidR="008F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239B0"/>
    <w:multiLevelType w:val="hybridMultilevel"/>
    <w:tmpl w:val="9B7A09D0"/>
    <w:lvl w:ilvl="0" w:tplc="1622536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7C08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631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884A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4051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F2C3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66C7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5E51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864D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AF03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A9"/>
    <w:rsid w:val="000B05A0"/>
    <w:rsid w:val="00483DC9"/>
    <w:rsid w:val="007A2013"/>
    <w:rsid w:val="008F22A9"/>
    <w:rsid w:val="0093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C1D2"/>
  <w15:docId w15:val="{BBBE197E-D811-464C-86D1-4E1F68DB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F22A9"/>
    <w:pPr>
      <w:pageBreakBefore/>
      <w:spacing w:after="240" w:line="240" w:lineRule="auto"/>
      <w:jc w:val="center"/>
      <w:outlineLvl w:val="0"/>
    </w:pPr>
    <w:rPr>
      <w:rFonts w:ascii="Arial" w:eastAsia="Times New Roman" w:hAnsi="Arial" w:cs="Arial"/>
      <w:sz w:val="28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8F22A9"/>
    <w:pPr>
      <w:keepNext/>
      <w:spacing w:before="120" w:after="12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22A9"/>
    <w:rPr>
      <w:rFonts w:ascii="Arial" w:eastAsia="Times New Roman" w:hAnsi="Arial" w:cs="Arial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8F22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8F22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a4">
    <w:name w:val="Заголовок Знак"/>
    <w:basedOn w:val="a0"/>
    <w:link w:val="a3"/>
    <w:uiPriority w:val="10"/>
    <w:rsid w:val="008F22A9"/>
    <w:rPr>
      <w:rFonts w:ascii="Times New Roman" w:eastAsia="Times New Roman" w:hAnsi="Times New Roman" w:cs="Times New Roman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234</Words>
  <Characters>1339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Мельчакова Алена Сергеевна</cp:lastModifiedBy>
  <cp:revision>4</cp:revision>
  <dcterms:created xsi:type="dcterms:W3CDTF">2020-04-03T11:27:00Z</dcterms:created>
  <dcterms:modified xsi:type="dcterms:W3CDTF">2020-04-14T19:55:00Z</dcterms:modified>
</cp:coreProperties>
</file>